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right="0" w:firstLine="0" w:firstLineChars="0"/>
        <w:jc w:val="both"/>
        <w:textAlignment w:val="auto"/>
        <w:rPr>
          <w:rFonts w:hint="eastAsia" w:ascii="方正小标宋简体" w:hAnsi="方正小标宋简体" w:eastAsia="方正小标宋简体" w:cs="方正小标宋简体"/>
          <w:color w:val="auto"/>
          <w:spacing w:val="0"/>
          <w:sz w:val="44"/>
          <w:szCs w:val="44"/>
          <w:lang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left="0" w:right="0" w:firstLine="0" w:firstLineChars="0"/>
        <w:jc w:val="center"/>
        <w:textAlignment w:val="auto"/>
        <w:rPr>
          <w:rFonts w:hint="eastAsia" w:ascii="方正小标宋简体" w:hAnsi="方正小标宋简体" w:eastAsia="方正小标宋简体" w:cs="方正小标宋简体"/>
          <w:color w:val="auto"/>
          <w:spacing w:val="0"/>
          <w:sz w:val="44"/>
          <w:szCs w:val="44"/>
        </w:rPr>
      </w:pPr>
      <w:r>
        <w:rPr>
          <w:rFonts w:hint="eastAsia" w:ascii="方正小标宋简体" w:hAnsi="方正小标宋简体" w:eastAsia="方正小标宋简体" w:cs="方正小标宋简体"/>
          <w:color w:val="auto"/>
          <w:spacing w:val="0"/>
          <w:sz w:val="44"/>
          <w:szCs w:val="44"/>
          <w:lang w:eastAsia="zh-CN"/>
        </w:rPr>
        <w:t>驻马店市现代化区域</w:t>
      </w:r>
      <w:r>
        <w:rPr>
          <w:rFonts w:hint="eastAsia" w:ascii="方正小标宋简体" w:hAnsi="方正小标宋简体" w:eastAsia="方正小标宋简体" w:cs="方正小标宋简体"/>
          <w:color w:val="auto"/>
          <w:spacing w:val="0"/>
          <w:sz w:val="44"/>
          <w:szCs w:val="44"/>
        </w:rPr>
        <w:t>中心城市发展规划</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right="0" w:firstLine="0" w:firstLineChars="0"/>
        <w:jc w:val="center"/>
        <w:textAlignment w:val="auto"/>
        <w:rPr>
          <w:rFonts w:hint="eastAsia" w:ascii="仿宋_GB2312" w:hAnsi="仿宋_GB2312" w:eastAsia="仿宋_GB2312" w:cs="仿宋_GB2312"/>
          <w:color w:val="auto"/>
          <w:spacing w:val="0"/>
          <w:sz w:val="32"/>
          <w:szCs w:val="32"/>
          <w:lang w:eastAsia="zh-CN"/>
        </w:rPr>
      </w:pPr>
      <w:r>
        <w:rPr>
          <w:rFonts w:hint="eastAsia" w:ascii="仿宋_GB2312" w:hAnsi="仿宋_GB2312" w:eastAsia="仿宋_GB2312" w:cs="仿宋_GB2312"/>
          <w:color w:val="auto"/>
          <w:spacing w:val="0"/>
          <w:sz w:val="32"/>
          <w:szCs w:val="32"/>
          <w:lang w:eastAsia="zh-CN"/>
        </w:rPr>
        <w:t>（征求意见稿）</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600" w:lineRule="exact"/>
        <w:ind w:left="0" w:leftChars="0" w:right="0" w:firstLine="0" w:firstLineChars="0"/>
        <w:jc w:val="left"/>
        <w:rPr>
          <w:rFonts w:hint="eastAsia" w:ascii="仿宋" w:hAnsi="仿宋" w:eastAsia="仿宋" w:cs="仿宋"/>
          <w:color w:val="auto"/>
          <w:sz w:val="32"/>
          <w:szCs w:val="32"/>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600" w:lineRule="exact"/>
        <w:ind w:left="0" w:leftChars="0" w:right="0" w:firstLine="648" w:firstLineChars="200"/>
        <w:jc w:val="left"/>
        <w:rPr>
          <w:rFonts w:hint="eastAsia" w:ascii="仿宋" w:hAnsi="仿宋" w:eastAsia="仿宋" w:cs="仿宋"/>
          <w:color w:val="auto"/>
          <w:spacing w:val="-5"/>
          <w:sz w:val="32"/>
          <w:szCs w:val="32"/>
        </w:rPr>
      </w:pPr>
      <w:r>
        <w:rPr>
          <w:rFonts w:hint="eastAsia" w:ascii="仿宋" w:hAnsi="仿宋" w:eastAsia="仿宋" w:cs="仿宋"/>
          <w:color w:val="auto"/>
          <w:sz w:val="32"/>
          <w:szCs w:val="32"/>
        </w:rPr>
        <w:t>202</w:t>
      </w:r>
      <w:r>
        <w:rPr>
          <w:rFonts w:hint="eastAsia" w:ascii="仿宋" w:hAnsi="仿宋" w:eastAsia="仿宋" w:cs="仿宋"/>
          <w:color w:val="auto"/>
          <w:sz w:val="32"/>
          <w:szCs w:val="32"/>
          <w:lang w:val="en"/>
        </w:rPr>
        <w:t>2</w:t>
      </w:r>
      <w:r>
        <w:rPr>
          <w:rFonts w:hint="eastAsia" w:ascii="仿宋" w:hAnsi="仿宋" w:eastAsia="仿宋" w:cs="仿宋"/>
          <w:color w:val="auto"/>
          <w:spacing w:val="-20"/>
          <w:sz w:val="32"/>
          <w:szCs w:val="32"/>
        </w:rPr>
        <w:t xml:space="preserve"> 年 </w:t>
      </w:r>
      <w:r>
        <w:rPr>
          <w:rFonts w:hint="eastAsia" w:ascii="仿宋" w:hAnsi="仿宋" w:eastAsia="仿宋" w:cs="仿宋"/>
          <w:color w:val="auto"/>
          <w:sz w:val="32"/>
          <w:szCs w:val="32"/>
          <w:lang w:val="en"/>
        </w:rPr>
        <w:t>4</w:t>
      </w:r>
      <w:r>
        <w:rPr>
          <w:rFonts w:hint="eastAsia" w:ascii="仿宋" w:hAnsi="仿宋" w:eastAsia="仿宋" w:cs="仿宋"/>
          <w:color w:val="auto"/>
          <w:spacing w:val="-11"/>
          <w:sz w:val="32"/>
          <w:szCs w:val="32"/>
        </w:rPr>
        <w:t>月</w:t>
      </w:r>
      <w:r>
        <w:rPr>
          <w:rFonts w:hint="eastAsia" w:ascii="仿宋" w:hAnsi="仿宋" w:eastAsia="仿宋" w:cs="仿宋"/>
          <w:b w:val="0"/>
          <w:i w:val="0"/>
          <w:caps w:val="0"/>
          <w:color w:val="auto"/>
          <w:spacing w:val="0"/>
          <w:kern w:val="0"/>
          <w:sz w:val="32"/>
          <w:szCs w:val="32"/>
          <w:lang w:val="en-US" w:eastAsia="zh-CN" w:bidi="ar"/>
        </w:rPr>
        <w:t>18日至19日，河南省省委书记楼阳生到驻马店市调研科技创新、产业发展、产教融合、城市建设、疫情防控、防汛备汛等工作。楼阳生指出，要深入落实省第十一次党代会、省委十一届二次全会暨省委经济工作会议部署，紧紧围绕锚定“两个确保”、实施“十大战略”，坚持创新驱动发展，在建设现代化区域中心城市中展现新作为、取得新成绩。楼阳生书记的重要讲话</w:t>
      </w:r>
      <w:r>
        <w:rPr>
          <w:rFonts w:hint="eastAsia" w:ascii="仿宋" w:hAnsi="仿宋" w:eastAsia="仿宋" w:cs="仿宋"/>
          <w:color w:val="auto"/>
          <w:spacing w:val="-2"/>
          <w:sz w:val="32"/>
          <w:szCs w:val="32"/>
        </w:rPr>
        <w:t>，为</w:t>
      </w:r>
      <w:r>
        <w:rPr>
          <w:rFonts w:hint="eastAsia" w:ascii="仿宋" w:hAnsi="仿宋" w:eastAsia="仿宋" w:cs="仿宋"/>
          <w:color w:val="auto"/>
          <w:spacing w:val="-2"/>
          <w:sz w:val="32"/>
          <w:szCs w:val="32"/>
          <w:lang w:eastAsia="zh-CN"/>
        </w:rPr>
        <w:t>驻马店市</w:t>
      </w:r>
      <w:r>
        <w:rPr>
          <w:rFonts w:hint="eastAsia" w:ascii="仿宋" w:hAnsi="仿宋" w:eastAsia="仿宋" w:cs="仿宋"/>
          <w:color w:val="auto"/>
          <w:spacing w:val="-2"/>
          <w:sz w:val="32"/>
          <w:szCs w:val="32"/>
        </w:rPr>
        <w:t>在现代化建</w:t>
      </w:r>
      <w:r>
        <w:rPr>
          <w:rFonts w:hint="eastAsia" w:ascii="仿宋" w:hAnsi="仿宋" w:eastAsia="仿宋" w:cs="仿宋"/>
          <w:color w:val="auto"/>
          <w:spacing w:val="-5"/>
          <w:sz w:val="32"/>
          <w:szCs w:val="32"/>
        </w:rPr>
        <w:t>设新征程中赋予了新定位，树立了新目标，指明了新路径。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600" w:lineRule="exact"/>
        <w:ind w:left="0" w:leftChars="0" w:right="0" w:firstLine="640" w:firstLineChars="200"/>
        <w:jc w:val="left"/>
        <w:rPr>
          <w:rFonts w:hint="eastAsia" w:ascii="仿宋" w:hAnsi="仿宋" w:eastAsia="仿宋" w:cs="仿宋"/>
          <w:color w:val="auto"/>
          <w:sz w:val="32"/>
          <w:szCs w:val="32"/>
        </w:rPr>
      </w:pPr>
      <w:r>
        <w:rPr>
          <w:rFonts w:hint="eastAsia" w:ascii="仿宋" w:hAnsi="仿宋" w:eastAsia="仿宋" w:cs="仿宋"/>
          <w:color w:val="auto"/>
          <w:spacing w:val="-2"/>
          <w:sz w:val="32"/>
          <w:szCs w:val="32"/>
        </w:rPr>
        <w:t>《</w:t>
      </w:r>
      <w:r>
        <w:rPr>
          <w:rFonts w:hint="eastAsia" w:ascii="仿宋" w:hAnsi="仿宋" w:eastAsia="仿宋" w:cs="仿宋"/>
          <w:color w:val="auto"/>
          <w:spacing w:val="-2"/>
          <w:sz w:val="32"/>
          <w:szCs w:val="32"/>
          <w:lang w:eastAsia="zh-CN"/>
        </w:rPr>
        <w:t>驻马店市现代</w:t>
      </w:r>
      <w:r>
        <w:rPr>
          <w:rFonts w:hint="eastAsia" w:ascii="仿宋" w:hAnsi="仿宋" w:eastAsia="仿宋" w:cs="仿宋"/>
          <w:b w:val="0"/>
          <w:i w:val="0"/>
          <w:caps w:val="0"/>
          <w:color w:val="auto"/>
          <w:spacing w:val="0"/>
          <w:kern w:val="0"/>
          <w:sz w:val="32"/>
          <w:szCs w:val="32"/>
          <w:lang w:val="en-US" w:eastAsia="zh-CN" w:bidi="ar"/>
        </w:rPr>
        <w:t>化</w:t>
      </w:r>
      <w:r>
        <w:rPr>
          <w:rFonts w:hint="eastAsia" w:ascii="仿宋" w:hAnsi="仿宋" w:eastAsia="仿宋" w:cs="仿宋"/>
          <w:color w:val="auto"/>
          <w:spacing w:val="-2"/>
          <w:sz w:val="32"/>
          <w:szCs w:val="32"/>
          <w:lang w:eastAsia="zh-CN"/>
        </w:rPr>
        <w:t>区域</w:t>
      </w:r>
      <w:r>
        <w:rPr>
          <w:rFonts w:hint="eastAsia" w:ascii="仿宋" w:hAnsi="仿宋" w:eastAsia="仿宋" w:cs="仿宋"/>
          <w:color w:val="auto"/>
          <w:spacing w:val="-2"/>
          <w:sz w:val="32"/>
          <w:szCs w:val="32"/>
        </w:rPr>
        <w:t>中心城市发展规划》根据《</w:t>
      </w:r>
      <w:r>
        <w:rPr>
          <w:rFonts w:hint="eastAsia" w:ascii="仿宋" w:hAnsi="仿宋" w:eastAsia="仿宋" w:cs="仿宋"/>
          <w:color w:val="auto"/>
          <w:spacing w:val="-2"/>
          <w:sz w:val="32"/>
          <w:szCs w:val="32"/>
          <w:lang w:eastAsia="zh-CN"/>
        </w:rPr>
        <w:t>驻马店</w:t>
      </w:r>
      <w:r>
        <w:rPr>
          <w:rFonts w:hint="eastAsia" w:ascii="仿宋" w:hAnsi="仿宋" w:eastAsia="仿宋" w:cs="仿宋"/>
          <w:color w:val="auto"/>
          <w:spacing w:val="-2"/>
          <w:sz w:val="32"/>
          <w:szCs w:val="32"/>
        </w:rPr>
        <w:t>市国民经济和社</w:t>
      </w:r>
      <w:r>
        <w:rPr>
          <w:rFonts w:hint="eastAsia" w:ascii="仿宋" w:hAnsi="仿宋" w:eastAsia="仿宋" w:cs="仿宋"/>
          <w:color w:val="auto"/>
          <w:spacing w:val="9"/>
          <w:sz w:val="32"/>
          <w:szCs w:val="32"/>
        </w:rPr>
        <w:t>会发展第十四个五年规划和二〇三五年远景目标纲要》</w:t>
      </w:r>
      <w:r>
        <w:rPr>
          <w:rFonts w:hint="eastAsia" w:ascii="仿宋" w:hAnsi="仿宋" w:eastAsia="仿宋" w:cs="仿宋"/>
          <w:color w:val="auto"/>
          <w:spacing w:val="9"/>
          <w:sz w:val="32"/>
          <w:szCs w:val="32"/>
          <w:lang w:eastAsia="zh-CN"/>
        </w:rPr>
        <w:t>、</w:t>
      </w:r>
      <w:r>
        <w:rPr>
          <w:rFonts w:hint="eastAsia" w:ascii="仿宋" w:hAnsi="仿宋" w:eastAsia="仿宋" w:cs="仿宋"/>
          <w:sz w:val="32"/>
          <w:szCs w:val="32"/>
        </w:rPr>
        <w:t>《驻马店市“十四五”新型城镇化规划》</w:t>
      </w:r>
      <w:r>
        <w:rPr>
          <w:rFonts w:hint="eastAsia" w:ascii="仿宋" w:hAnsi="仿宋" w:eastAsia="仿宋" w:cs="仿宋"/>
          <w:sz w:val="32"/>
          <w:szCs w:val="32"/>
          <w:lang w:eastAsia="zh-CN"/>
        </w:rPr>
        <w:t>、</w:t>
      </w:r>
      <w:r>
        <w:rPr>
          <w:rFonts w:hint="eastAsia" w:ascii="仿宋" w:hAnsi="仿宋" w:eastAsia="仿宋" w:cs="仿宋"/>
          <w:sz w:val="32"/>
          <w:szCs w:val="32"/>
        </w:rPr>
        <w:t>《驻马店市</w:t>
      </w:r>
      <w:r>
        <w:rPr>
          <w:rFonts w:hint="eastAsia" w:ascii="仿宋" w:hAnsi="仿宋" w:eastAsia="仿宋" w:cs="仿宋"/>
          <w:sz w:val="32"/>
          <w:szCs w:val="32"/>
          <w:lang w:eastAsia="zh-CN"/>
        </w:rPr>
        <w:t>国土空间总体规划（</w:t>
      </w:r>
      <w:r>
        <w:rPr>
          <w:rFonts w:hint="eastAsia" w:ascii="仿宋" w:hAnsi="仿宋" w:eastAsia="仿宋" w:cs="仿宋"/>
          <w:sz w:val="32"/>
          <w:szCs w:val="32"/>
          <w:lang w:val="en-US" w:eastAsia="zh-CN"/>
        </w:rPr>
        <w:t>2021-2035）</w:t>
      </w:r>
      <w:r>
        <w:rPr>
          <w:rFonts w:hint="eastAsia" w:ascii="仿宋" w:hAnsi="仿宋" w:eastAsia="仿宋" w:cs="仿宋"/>
          <w:sz w:val="32"/>
          <w:szCs w:val="32"/>
        </w:rPr>
        <w:t>》</w:t>
      </w:r>
      <w:r>
        <w:rPr>
          <w:rFonts w:hint="eastAsia" w:ascii="仿宋" w:hAnsi="仿宋" w:eastAsia="仿宋" w:cs="仿宋"/>
          <w:sz w:val="32"/>
          <w:szCs w:val="32"/>
          <w:lang w:eastAsia="zh-CN"/>
        </w:rPr>
        <w:t>等</w:t>
      </w:r>
      <w:r>
        <w:rPr>
          <w:rFonts w:hint="eastAsia" w:ascii="仿宋" w:hAnsi="仿宋" w:eastAsia="仿宋" w:cs="仿宋"/>
          <w:color w:val="auto"/>
          <w:spacing w:val="9"/>
          <w:sz w:val="32"/>
          <w:szCs w:val="32"/>
        </w:rPr>
        <w:t>编</w:t>
      </w:r>
      <w:r>
        <w:rPr>
          <w:rFonts w:hint="eastAsia" w:ascii="仿宋" w:hAnsi="仿宋" w:eastAsia="仿宋" w:cs="仿宋"/>
          <w:color w:val="auto"/>
          <w:spacing w:val="-2"/>
          <w:sz w:val="32"/>
          <w:szCs w:val="32"/>
        </w:rPr>
        <w:t>制，主要阐述</w:t>
      </w:r>
      <w:r>
        <w:rPr>
          <w:rFonts w:hint="eastAsia" w:ascii="仿宋" w:hAnsi="仿宋" w:eastAsia="仿宋" w:cs="仿宋"/>
          <w:color w:val="auto"/>
          <w:spacing w:val="-2"/>
          <w:sz w:val="32"/>
          <w:szCs w:val="32"/>
          <w:lang w:eastAsia="zh-CN"/>
        </w:rPr>
        <w:t>驻马店</w:t>
      </w:r>
      <w:r>
        <w:rPr>
          <w:rFonts w:hint="eastAsia" w:ascii="仿宋" w:hAnsi="仿宋" w:eastAsia="仿宋" w:cs="仿宋"/>
          <w:color w:val="auto"/>
          <w:spacing w:val="-2"/>
          <w:sz w:val="32"/>
          <w:szCs w:val="32"/>
        </w:rPr>
        <w:t>建设</w:t>
      </w:r>
      <w:r>
        <w:rPr>
          <w:rFonts w:hint="eastAsia" w:ascii="仿宋" w:hAnsi="仿宋" w:eastAsia="仿宋" w:cs="仿宋"/>
          <w:color w:val="auto"/>
          <w:spacing w:val="-2"/>
          <w:sz w:val="32"/>
          <w:szCs w:val="32"/>
          <w:lang w:eastAsia="zh-CN"/>
        </w:rPr>
        <w:t>现代区域</w:t>
      </w:r>
      <w:r>
        <w:rPr>
          <w:rFonts w:hint="eastAsia" w:ascii="仿宋" w:hAnsi="仿宋" w:eastAsia="仿宋" w:cs="仿宋"/>
          <w:color w:val="auto"/>
          <w:spacing w:val="-2"/>
          <w:sz w:val="32"/>
          <w:szCs w:val="32"/>
        </w:rPr>
        <w:t>中心城市的指导思想、战略定位、发展目标、主要任务及具体措施，是指导当前和今后一</w:t>
      </w:r>
      <w:r>
        <w:rPr>
          <w:rFonts w:hint="eastAsia" w:ascii="仿宋" w:hAnsi="仿宋" w:eastAsia="仿宋" w:cs="仿宋"/>
          <w:color w:val="auto"/>
          <w:spacing w:val="9"/>
          <w:sz w:val="32"/>
          <w:szCs w:val="32"/>
        </w:rPr>
        <w:t>个时期</w:t>
      </w:r>
      <w:r>
        <w:rPr>
          <w:rFonts w:hint="eastAsia" w:ascii="仿宋" w:hAnsi="仿宋" w:eastAsia="仿宋" w:cs="仿宋"/>
          <w:color w:val="auto"/>
          <w:spacing w:val="-2"/>
          <w:sz w:val="32"/>
          <w:szCs w:val="32"/>
          <w:lang w:eastAsia="zh-CN"/>
        </w:rPr>
        <w:t>驻马店</w:t>
      </w:r>
      <w:r>
        <w:rPr>
          <w:rFonts w:hint="eastAsia" w:ascii="仿宋" w:hAnsi="仿宋" w:eastAsia="仿宋" w:cs="仿宋"/>
          <w:color w:val="auto"/>
          <w:spacing w:val="-2"/>
          <w:sz w:val="32"/>
          <w:szCs w:val="32"/>
        </w:rPr>
        <w:t>建设</w:t>
      </w:r>
      <w:r>
        <w:rPr>
          <w:rFonts w:hint="eastAsia" w:ascii="仿宋" w:hAnsi="仿宋" w:eastAsia="仿宋" w:cs="仿宋"/>
          <w:color w:val="auto"/>
          <w:spacing w:val="-2"/>
          <w:sz w:val="32"/>
          <w:szCs w:val="32"/>
          <w:lang w:eastAsia="zh-CN"/>
        </w:rPr>
        <w:t>现代区域</w:t>
      </w:r>
      <w:r>
        <w:rPr>
          <w:rFonts w:hint="eastAsia" w:ascii="仿宋" w:hAnsi="仿宋" w:eastAsia="仿宋" w:cs="仿宋"/>
          <w:color w:val="auto"/>
          <w:spacing w:val="9"/>
          <w:sz w:val="32"/>
          <w:szCs w:val="32"/>
        </w:rPr>
        <w:t>中心城市</w:t>
      </w:r>
      <w:r>
        <w:rPr>
          <w:rFonts w:hint="eastAsia" w:ascii="仿宋" w:hAnsi="仿宋" w:eastAsia="仿宋" w:cs="仿宋"/>
          <w:color w:val="auto"/>
          <w:sz w:val="32"/>
          <w:szCs w:val="32"/>
        </w:rPr>
        <w:t>健康科学发展的</w:t>
      </w:r>
      <w:r>
        <w:rPr>
          <w:rFonts w:hint="eastAsia" w:ascii="仿宋" w:hAnsi="仿宋" w:eastAsia="仿宋" w:cs="仿宋"/>
          <w:spacing w:val="9"/>
          <w:sz w:val="32"/>
          <w:szCs w:val="32"/>
        </w:rPr>
        <w:t>纲领性</w:t>
      </w:r>
      <w:r>
        <w:rPr>
          <w:rFonts w:hint="eastAsia" w:ascii="仿宋" w:hAnsi="仿宋" w:eastAsia="仿宋" w:cs="仿宋"/>
          <w:spacing w:val="9"/>
          <w:sz w:val="32"/>
          <w:szCs w:val="32"/>
          <w:lang w:eastAsia="zh-CN"/>
        </w:rPr>
        <w:t>文件</w:t>
      </w:r>
      <w:r>
        <w:rPr>
          <w:rFonts w:hint="eastAsia" w:ascii="仿宋" w:hAnsi="仿宋" w:eastAsia="仿宋" w:cs="仿宋"/>
          <w:color w:val="auto"/>
          <w:sz w:val="32"/>
          <w:szCs w:val="32"/>
        </w:rPr>
        <w:t>。</w:t>
      </w:r>
      <w:r>
        <w:rPr>
          <w:rFonts w:hint="eastAsia" w:ascii="仿宋" w:hAnsi="仿宋" w:eastAsia="仿宋" w:cs="仿宋"/>
          <w:color w:val="auto"/>
          <w:spacing w:val="9"/>
          <w:sz w:val="32"/>
          <w:szCs w:val="32"/>
        </w:rPr>
        <w:t>规划期至</w:t>
      </w:r>
      <w:r>
        <w:rPr>
          <w:rFonts w:hint="eastAsia" w:ascii="仿宋" w:hAnsi="仿宋" w:eastAsia="仿宋" w:cs="仿宋"/>
          <w:color w:val="auto"/>
          <w:sz w:val="32"/>
          <w:szCs w:val="32"/>
        </w:rPr>
        <w:t xml:space="preserve"> 2035 </w:t>
      </w:r>
      <w:r>
        <w:rPr>
          <w:rFonts w:hint="eastAsia" w:ascii="仿宋" w:hAnsi="仿宋" w:eastAsia="仿宋" w:cs="仿宋"/>
          <w:color w:val="auto"/>
          <w:spacing w:val="-5"/>
          <w:sz w:val="32"/>
          <w:szCs w:val="32"/>
        </w:rPr>
        <w:t xml:space="preserve">年，展望期至 </w:t>
      </w:r>
      <w:r>
        <w:rPr>
          <w:rFonts w:hint="eastAsia" w:ascii="仿宋" w:hAnsi="仿宋" w:eastAsia="仿宋" w:cs="仿宋"/>
          <w:color w:val="auto"/>
          <w:sz w:val="32"/>
          <w:szCs w:val="32"/>
        </w:rPr>
        <w:t>2050 年。</w:t>
      </w:r>
    </w:p>
    <w:p>
      <w:pPr>
        <w:keepNext w:val="0"/>
        <w:keepLines w:val="0"/>
        <w:pageBreakBefore w:val="0"/>
        <w:kinsoku/>
        <w:wordWrap/>
        <w:overflowPunct/>
        <w:topLinePunct w:val="0"/>
        <w:autoSpaceDE/>
        <w:autoSpaceDN/>
        <w:bidi w:val="0"/>
        <w:adjustRightInd/>
        <w:snapToGrid/>
        <w:spacing w:beforeAutospacing="0" w:after="0" w:afterAutospacing="0" w:line="600" w:lineRule="exact"/>
        <w:ind w:left="0" w:right="0" w:firstLine="0" w:firstLineChars="0"/>
        <w:jc w:val="left"/>
        <w:rPr>
          <w:rFonts w:hint="eastAsia" w:ascii="仿宋" w:hAnsi="仿宋" w:eastAsia="仿宋" w:cs="仿宋"/>
          <w:color w:val="auto"/>
          <w:sz w:val="32"/>
          <w:szCs w:val="32"/>
        </w:rPr>
        <w:sectPr>
          <w:pgSz w:w="11911" w:h="16838"/>
          <w:pgMar w:top="1984" w:right="1417" w:bottom="1814" w:left="1587" w:header="0" w:footer="1191" w:gutter="0"/>
          <w:cols w:space="0" w:num="1"/>
          <w:rtlGutter w:val="0"/>
          <w:docGrid w:type="linesAndChars" w:linePitch="286" w:charSpace="981"/>
        </w:sectPr>
      </w:pPr>
    </w:p>
    <w:p>
      <w:pPr>
        <w:pStyle w:val="2"/>
        <w:keepNext w:val="0"/>
        <w:keepLines w:val="0"/>
        <w:pageBreakBefore w:val="0"/>
        <w:kinsoku/>
        <w:wordWrap/>
        <w:overflowPunct/>
        <w:topLinePunct w:val="0"/>
        <w:autoSpaceDE/>
        <w:autoSpaceDN/>
        <w:bidi w:val="0"/>
        <w:adjustRightInd/>
        <w:snapToGrid/>
        <w:spacing w:beforeAutospacing="0" w:afterAutospacing="0" w:line="580" w:lineRule="exact"/>
        <w:ind w:left="0" w:right="0" w:firstLine="0" w:firstLineChars="0"/>
        <w:jc w:val="center"/>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rPr>
        <w:t>第一章</w:t>
      </w:r>
      <w:r>
        <w:rPr>
          <w:rFonts w:hint="eastAsia" w:ascii="仿宋_GB2312" w:hAnsi="仿宋_GB2312" w:eastAsia="仿宋_GB2312" w:cs="仿宋_GB2312"/>
          <w:b/>
          <w:bCs/>
          <w:color w:val="auto"/>
          <w:spacing w:val="0"/>
          <w:w w:val="150"/>
          <w:sz w:val="32"/>
          <w:szCs w:val="32"/>
        </w:rPr>
        <w:t xml:space="preserve"> </w:t>
      </w:r>
      <w:r>
        <w:rPr>
          <w:rFonts w:hint="eastAsia" w:ascii="仿宋_GB2312" w:hAnsi="仿宋_GB2312" w:eastAsia="仿宋_GB2312" w:cs="仿宋_GB2312"/>
          <w:b/>
          <w:bCs/>
          <w:color w:val="auto"/>
          <w:spacing w:val="0"/>
          <w:sz w:val="32"/>
          <w:szCs w:val="32"/>
        </w:rPr>
        <w:t>规划背景</w:t>
      </w:r>
    </w:p>
    <w:p>
      <w:pPr>
        <w:pStyle w:val="2"/>
        <w:keepNext w:val="0"/>
        <w:keepLines w:val="0"/>
        <w:pageBreakBefore w:val="0"/>
        <w:kinsoku/>
        <w:wordWrap/>
        <w:overflowPunct/>
        <w:topLinePunct w:val="0"/>
        <w:autoSpaceDE/>
        <w:autoSpaceDN/>
        <w:bidi w:val="0"/>
        <w:adjustRightInd/>
        <w:snapToGrid/>
        <w:spacing w:beforeAutospacing="0" w:afterAutospacing="0" w:line="580" w:lineRule="exact"/>
        <w:ind w:left="0" w:right="0" w:firstLine="0" w:firstLineChars="0"/>
        <w:rPr>
          <w:rFonts w:hint="eastAsia" w:ascii="仿宋_GB2312" w:hAnsi="仿宋_GB2312" w:eastAsia="仿宋_GB2312" w:cs="仿宋_GB2312"/>
          <w:color w:val="auto"/>
          <w:spacing w:val="0"/>
          <w:sz w:val="32"/>
          <w:szCs w:val="32"/>
        </w:rPr>
      </w:pPr>
    </w:p>
    <w:p>
      <w:pPr>
        <w:pStyle w:val="3"/>
        <w:keepNext w:val="0"/>
        <w:keepLines w:val="0"/>
        <w:pageBreakBefore w:val="0"/>
        <w:numPr>
          <w:ilvl w:val="0"/>
          <w:numId w:val="1"/>
        </w:numPr>
        <w:kinsoku/>
        <w:wordWrap/>
        <w:overflowPunct/>
        <w:topLinePunct w:val="0"/>
        <w:autoSpaceDE/>
        <w:autoSpaceDN/>
        <w:bidi w:val="0"/>
        <w:adjustRightInd/>
        <w:snapToGrid/>
        <w:spacing w:beforeAutospacing="0" w:afterAutospacing="0" w:line="580" w:lineRule="exact"/>
        <w:ind w:left="0" w:right="0" w:firstLine="0" w:firstLineChars="0"/>
        <w:jc w:val="center"/>
        <w:rPr>
          <w:rFonts w:hint="eastAsia" w:ascii="仿宋_GB2312" w:hAnsi="仿宋_GB2312" w:eastAsia="仿宋_GB2312" w:cs="仿宋_GB2312"/>
          <w:b w:val="0"/>
          <w:bCs w:val="0"/>
          <w:color w:val="auto"/>
          <w:spacing w:val="0"/>
          <w:sz w:val="32"/>
          <w:szCs w:val="32"/>
        </w:rPr>
      </w:pPr>
      <w:bookmarkStart w:id="0" w:name="第一节  重大意义"/>
      <w:bookmarkEnd w:id="0"/>
      <w:bookmarkStart w:id="1" w:name="_bookmark1"/>
      <w:bookmarkEnd w:id="1"/>
      <w:r>
        <w:rPr>
          <w:rFonts w:hint="eastAsia" w:ascii="仿宋_GB2312" w:hAnsi="仿宋_GB2312" w:eastAsia="仿宋_GB2312" w:cs="仿宋_GB2312"/>
          <w:b w:val="0"/>
          <w:bCs w:val="0"/>
          <w:color w:val="auto"/>
          <w:spacing w:val="0"/>
          <w:sz w:val="32"/>
          <w:szCs w:val="32"/>
        </w:rPr>
        <w:t>重大意义</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80" w:lineRule="exact"/>
        <w:ind w:left="0" w:right="0" w:firstLine="0" w:firstLineChars="0"/>
        <w:rPr>
          <w:rFonts w:hint="eastAsia" w:ascii="仿宋_GB2312" w:hAnsi="仿宋_GB2312" w:eastAsia="仿宋_GB2312" w:cs="仿宋_GB2312"/>
          <w:color w:val="auto"/>
          <w:spacing w:val="0"/>
          <w:sz w:val="32"/>
          <w:szCs w:val="32"/>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right="0" w:firstLine="648" w:firstLineChars="200"/>
        <w:jc w:val="left"/>
        <w:textAlignment w:val="auto"/>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color w:val="auto"/>
          <w:spacing w:val="0"/>
          <w:kern w:val="0"/>
          <w:sz w:val="32"/>
          <w:szCs w:val="32"/>
          <w:lang w:val="en-US" w:eastAsia="zh-CN" w:bidi="ar"/>
        </w:rPr>
        <w:t>一是从我省区域经济发展格局看，形成了以国家中心城市郑州为龙头引领，洛阳、南阳省域副中心城市为协同发力，驻马店现代化区域中心城市等为重要支撑的区域经济发展格局，驻马店在全省乃至全国发展中的层级更加重要、能级更加彰显、量级更加突出。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right="0" w:firstLine="648" w:firstLineChars="200"/>
        <w:jc w:val="left"/>
        <w:textAlignment w:val="auto"/>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color w:val="auto"/>
          <w:spacing w:val="0"/>
          <w:kern w:val="0"/>
          <w:sz w:val="32"/>
          <w:szCs w:val="32"/>
          <w:lang w:val="en-US" w:eastAsia="zh-CN" w:bidi="ar"/>
        </w:rPr>
        <w:t>二是驻马店建设现代化区域中心城市，既是完善河南现代城镇体系的战略举措，也是培育多极化增长引擎的内在要求，将带来城市功能、地位和能级的大跃升，为全面推进现代化驻马店建设明晰了战略定位、目标方向和方法路径。</w:t>
      </w:r>
    </w:p>
    <w:p>
      <w:pPr>
        <w:pStyle w:val="2"/>
        <w:keepNext w:val="0"/>
        <w:keepLines w:val="0"/>
        <w:pageBreakBefore w:val="0"/>
        <w:kinsoku/>
        <w:wordWrap/>
        <w:overflowPunct/>
        <w:topLinePunct w:val="0"/>
        <w:autoSpaceDE/>
        <w:autoSpaceDN/>
        <w:bidi w:val="0"/>
        <w:adjustRightInd/>
        <w:snapToGrid/>
        <w:spacing w:line="580" w:lineRule="exact"/>
        <w:ind w:left="0" w:leftChars="0" w:firstLine="648" w:firstLineChars="200"/>
        <w:textAlignment w:val="auto"/>
        <w:rPr>
          <w:rFonts w:hint="eastAsia" w:ascii="仿宋_GB2312" w:hAnsi="仿宋_GB2312" w:eastAsia="仿宋_GB2312" w:cs="仿宋_GB2312"/>
          <w:color w:val="auto"/>
          <w:spacing w:val="0"/>
          <w:kern w:val="0"/>
          <w:sz w:val="32"/>
          <w:szCs w:val="32"/>
          <w:lang w:val="en-US" w:eastAsia="zh-CN" w:bidi="ar"/>
        </w:rPr>
      </w:pPr>
      <w:r>
        <w:rPr>
          <w:rFonts w:hint="eastAsia" w:ascii="仿宋_GB2312" w:hAnsi="仿宋_GB2312" w:eastAsia="仿宋_GB2312" w:cs="仿宋_GB2312"/>
          <w:color w:val="auto"/>
          <w:spacing w:val="0"/>
          <w:kern w:val="0"/>
          <w:sz w:val="32"/>
          <w:szCs w:val="32"/>
          <w:lang w:val="en-US" w:eastAsia="zh-CN" w:bidi="ar"/>
        </w:rPr>
        <w:t>三是</w:t>
      </w:r>
      <w:r>
        <w:rPr>
          <w:rFonts w:hint="eastAsia" w:ascii="仿宋_GB2312" w:hAnsi="仿宋_GB2312" w:eastAsia="仿宋_GB2312" w:cs="仿宋_GB2312"/>
          <w:b w:val="0"/>
          <w:i w:val="0"/>
          <w:caps w:val="0"/>
          <w:color w:val="auto"/>
          <w:spacing w:val="0"/>
          <w:kern w:val="0"/>
          <w:sz w:val="32"/>
          <w:szCs w:val="32"/>
          <w:lang w:val="en-US" w:eastAsia="zh-CN" w:bidi="ar"/>
        </w:rPr>
        <w:t>楼阳生书记提出的</w:t>
      </w:r>
      <w:r>
        <w:rPr>
          <w:rFonts w:hint="eastAsia" w:ascii="仿宋_GB2312" w:hAnsi="仿宋_GB2312" w:eastAsia="仿宋_GB2312" w:cs="仿宋_GB2312"/>
          <w:color w:val="auto"/>
          <w:spacing w:val="0"/>
          <w:kern w:val="0"/>
          <w:sz w:val="32"/>
          <w:szCs w:val="32"/>
          <w:lang w:val="en-US" w:eastAsia="zh-CN" w:bidi="ar"/>
        </w:rPr>
        <w:t>“七个新作为”，均建立在再造、整合、重组巩固提升驻马店已有优势基础上，有利于我市加快培育新的比较优势、竞争优势，推动交通区位优势向枢纽经济优势转变、产业基础优势向产业链供应链优势转变、内需规模优势向供需协同优势转变、生态环境优势向经济发展优势转变、人口规模优势向人才优势转变。这种发展新逻辑，有利于我市破除传统思维定势、条条框框限制、狭隘地域局限，主动创新求变，勇于打破常规，变“不可能”为“可能”，变“路径依赖”为“模式创新”，变“劣势”为“优势”，真正突破惯性思维，实现直道冲刺、弯道超车、换道领跑。以体制机制创新打破行政区划壁垒，推动中心城区和周边县域一体发展。</w:t>
      </w:r>
    </w:p>
    <w:p>
      <w:pPr>
        <w:pStyle w:val="2"/>
        <w:rPr>
          <w:rFonts w:hint="eastAsia" w:ascii="仿宋_GB2312" w:hAnsi="仿宋_GB2312" w:eastAsia="仿宋_GB2312" w:cs="仿宋_GB2312"/>
          <w:color w:val="auto"/>
          <w:spacing w:val="0"/>
          <w:kern w:val="0"/>
          <w:sz w:val="32"/>
          <w:szCs w:val="32"/>
          <w:lang w:val="en-US" w:eastAsia="zh-CN" w:bidi="ar"/>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580" w:lineRule="exact"/>
        <w:ind w:right="0"/>
        <w:jc w:val="center"/>
        <w:rPr>
          <w:rFonts w:hint="eastAsia" w:ascii="仿宋_GB2312" w:hAnsi="仿宋_GB2312" w:eastAsia="仿宋_GB2312" w:cs="仿宋_GB2312"/>
          <w:color w:val="auto"/>
          <w:spacing w:val="0"/>
          <w:kern w:val="0"/>
          <w:sz w:val="32"/>
          <w:szCs w:val="32"/>
          <w:lang w:val="en-US" w:eastAsia="zh-CN" w:bidi="ar"/>
        </w:rPr>
      </w:pPr>
      <w:r>
        <w:rPr>
          <w:rFonts w:hint="eastAsia" w:ascii="仿宋_GB2312" w:hAnsi="仿宋_GB2312" w:eastAsia="仿宋_GB2312" w:cs="仿宋_GB2312"/>
          <w:color w:val="auto"/>
          <w:spacing w:val="0"/>
          <w:kern w:val="0"/>
          <w:sz w:val="32"/>
          <w:szCs w:val="32"/>
          <w:lang w:val="en-US" w:eastAsia="zh-CN" w:bidi="ar"/>
        </w:rPr>
        <w:t>第二节 发展基础</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80" w:lineRule="exact"/>
        <w:ind w:left="0" w:right="0" w:firstLine="648" w:firstLineChars="200"/>
        <w:jc w:val="both"/>
        <w:textAlignment w:val="baseline"/>
        <w:rPr>
          <w:rFonts w:hint="eastAsia" w:ascii="仿宋_GB2312" w:hAnsi="仿宋_GB2312" w:eastAsia="仿宋_GB2312" w:cs="仿宋_GB2312"/>
          <w:b/>
          <w:bCs/>
          <w:color w:val="auto"/>
          <w:spacing w:val="0"/>
          <w:sz w:val="32"/>
          <w:szCs w:val="32"/>
          <w:shd w:val="clear" w:fill="FFFFFF"/>
          <w:vertAlign w:val="baseline"/>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80" w:lineRule="exact"/>
        <w:ind w:left="0" w:right="0" w:firstLine="648" w:firstLineChars="200"/>
        <w:jc w:val="both"/>
        <w:textAlignment w:val="baseline"/>
        <w:rPr>
          <w:rFonts w:hint="eastAsia" w:ascii="仿宋_GB2312" w:hAnsi="仿宋_GB2312" w:eastAsia="仿宋_GB2312" w:cs="仿宋_GB2312"/>
          <w:color w:val="auto"/>
          <w:spacing w:val="0"/>
          <w:kern w:val="0"/>
          <w:sz w:val="32"/>
          <w:szCs w:val="32"/>
          <w:lang w:val="en-US" w:eastAsia="zh-CN" w:bidi="ar"/>
        </w:rPr>
      </w:pPr>
      <w:r>
        <w:rPr>
          <w:rFonts w:hint="eastAsia" w:ascii="仿宋_GB2312" w:hAnsi="仿宋_GB2312" w:eastAsia="仿宋_GB2312" w:cs="仿宋_GB2312"/>
          <w:b/>
          <w:bCs/>
          <w:color w:val="auto"/>
          <w:spacing w:val="0"/>
          <w:sz w:val="32"/>
          <w:szCs w:val="32"/>
          <w:shd w:val="clear" w:fill="FFFFFF"/>
          <w:vertAlign w:val="baseline"/>
          <w:lang w:val="en-US" w:eastAsia="zh-CN"/>
        </w:rPr>
        <w:t>经济优势：</w:t>
      </w:r>
      <w:r>
        <w:rPr>
          <w:rFonts w:hint="eastAsia" w:ascii="仿宋_GB2312" w:hAnsi="仿宋_GB2312" w:eastAsia="仿宋_GB2312" w:cs="仿宋_GB2312"/>
          <w:color w:val="auto"/>
          <w:spacing w:val="0"/>
          <w:kern w:val="0"/>
          <w:sz w:val="32"/>
          <w:szCs w:val="32"/>
          <w:lang w:val="en-US" w:eastAsia="zh-CN" w:bidi="ar"/>
        </w:rPr>
        <w:t>2022年，全市GDP达到3257亿元，年均增长6.2%；一般公共预算收入204.5亿元，是2017年的1.8倍；规模以上工业增加值增长6%，年均增长6.5%；固定资产投资年均增长11%；社会消费品零售总额完成1107亿元，总量是2017年的1.3倍；居民人均可支配收入从1.6万元提高到2.4万元。成功创建全国文明城市、国家卫生城市、国家节水型城市，被评为平安中国建设示范市、全国法治政府建设示范市，全国文明城市复检连续三年保持全国“第一方阵”，先后四次获得国务院督查激励表扬和一次免督查等，建设现代化驻马店的时代强音更加响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80" w:lineRule="exact"/>
        <w:ind w:left="0" w:right="0" w:firstLine="648" w:firstLineChars="200"/>
        <w:jc w:val="both"/>
        <w:textAlignment w:val="baseline"/>
        <w:rPr>
          <w:rFonts w:hint="eastAsia" w:ascii="仿宋_GB2312" w:hAnsi="仿宋_GB2312" w:eastAsia="仿宋_GB2312" w:cs="仿宋_GB2312"/>
          <w:color w:val="auto"/>
          <w:spacing w:val="0"/>
          <w:kern w:val="0"/>
          <w:sz w:val="32"/>
          <w:szCs w:val="32"/>
          <w:lang w:val="en-US" w:eastAsia="zh-CN" w:bidi="ar"/>
        </w:rPr>
      </w:pPr>
      <w:r>
        <w:rPr>
          <w:rFonts w:hint="eastAsia" w:ascii="仿宋_GB2312" w:hAnsi="仿宋_GB2312" w:eastAsia="仿宋_GB2312" w:cs="仿宋_GB2312"/>
          <w:b/>
          <w:bCs/>
          <w:color w:val="auto"/>
          <w:spacing w:val="0"/>
          <w:sz w:val="32"/>
          <w:szCs w:val="32"/>
          <w:shd w:val="clear" w:fill="FFFFFF"/>
          <w:vertAlign w:val="baseline"/>
          <w:lang w:eastAsia="zh-CN"/>
        </w:rPr>
        <w:t>人口优势：</w:t>
      </w:r>
      <w:r>
        <w:rPr>
          <w:rFonts w:hint="eastAsia" w:ascii="仿宋_GB2312" w:hAnsi="仿宋_GB2312" w:eastAsia="仿宋_GB2312" w:cs="仿宋_GB2312"/>
          <w:b w:val="0"/>
          <w:bCs w:val="0"/>
          <w:color w:val="auto"/>
          <w:spacing w:val="0"/>
          <w:sz w:val="32"/>
          <w:szCs w:val="32"/>
          <w:shd w:val="clear" w:fill="FFFFFF"/>
          <w:vertAlign w:val="baseline"/>
          <w:lang w:val="en-US" w:eastAsia="zh-CN"/>
        </w:rPr>
        <w:t>驻</w:t>
      </w:r>
      <w:r>
        <w:rPr>
          <w:rFonts w:hint="eastAsia" w:ascii="仿宋_GB2312" w:hAnsi="仿宋_GB2312" w:eastAsia="仿宋_GB2312" w:cs="仿宋_GB2312"/>
          <w:color w:val="auto"/>
          <w:spacing w:val="0"/>
          <w:kern w:val="0"/>
          <w:sz w:val="32"/>
          <w:szCs w:val="32"/>
          <w:lang w:val="en-US" w:eastAsia="zh-CN" w:bidi="ar"/>
        </w:rPr>
        <w:t>马店位于河南省中南部，因历史上设皇家驿站而得名，素有“豫州之腹地”“天下之最中”的美称，全市辖9县1区（遂平县、西平县、上蔡县、汝南县、平舆县、新蔡县、正阳县、确山县、泌阳县、驿城区），3个省级功能区（经济开发区、城乡一体化示范区、高新技术产业开发区），人口966万人，总面积有1.5万平方公里，是人口大市、农业大市和快速工业化、城镇化城市，“十四五”开局以来，各项工作保持了较好的态势、趋势和气势。</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80" w:lineRule="exact"/>
        <w:ind w:left="0" w:right="0" w:firstLine="648" w:firstLineChars="200"/>
        <w:jc w:val="both"/>
        <w:textAlignment w:val="baseline"/>
        <w:rPr>
          <w:rFonts w:hint="eastAsia" w:ascii="仿宋_GB2312" w:hAnsi="仿宋_GB2312" w:eastAsia="仿宋_GB2312" w:cs="仿宋_GB2312"/>
          <w:color w:val="auto"/>
          <w:spacing w:val="0"/>
          <w:kern w:val="0"/>
          <w:sz w:val="32"/>
          <w:szCs w:val="32"/>
          <w:lang w:val="en-US" w:eastAsia="zh-CN" w:bidi="ar"/>
        </w:rPr>
      </w:pPr>
      <w:r>
        <w:rPr>
          <w:rFonts w:hint="eastAsia" w:ascii="仿宋_GB2312" w:hAnsi="仿宋_GB2312" w:eastAsia="仿宋_GB2312" w:cs="仿宋_GB2312"/>
          <w:b/>
          <w:bCs/>
          <w:color w:val="auto"/>
          <w:spacing w:val="0"/>
          <w:sz w:val="32"/>
          <w:szCs w:val="32"/>
          <w:shd w:val="clear" w:fill="FFFFFF"/>
          <w:vertAlign w:val="baseline"/>
          <w:lang w:eastAsia="zh-CN"/>
        </w:rPr>
        <w:t>区位优势：</w:t>
      </w:r>
      <w:r>
        <w:rPr>
          <w:rFonts w:hint="eastAsia" w:ascii="仿宋_GB2312" w:hAnsi="仿宋_GB2312" w:eastAsia="仿宋_GB2312" w:cs="仿宋_GB2312"/>
          <w:color w:val="auto"/>
          <w:spacing w:val="0"/>
          <w:kern w:val="0"/>
          <w:sz w:val="32"/>
          <w:szCs w:val="32"/>
          <w:lang w:val="en-US" w:eastAsia="zh-CN" w:bidi="ar"/>
        </w:rPr>
        <w:t>区位交通持续提升，是郑州、武汉两个国家中心城市之间的重要节点城市，京广铁路、京深高铁2条铁路纵贯南北，京港澳、大广、新阳、沪陕等7条高速和106、107、328等6条国道穿境而过，许信、上罗、沈遂高速项目进展顺利，区域综合交通枢纽正加快形成。</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80" w:lineRule="exact"/>
        <w:ind w:left="0" w:right="0" w:firstLine="648" w:firstLineChars="200"/>
        <w:jc w:val="both"/>
        <w:textAlignment w:val="baseline"/>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b/>
          <w:bCs/>
          <w:color w:val="auto"/>
          <w:spacing w:val="0"/>
          <w:sz w:val="32"/>
          <w:szCs w:val="32"/>
          <w:shd w:val="clear" w:fill="FFFFFF"/>
          <w:vertAlign w:val="baseline"/>
          <w:lang w:eastAsia="zh-CN"/>
        </w:rPr>
        <w:t>文化优势：</w:t>
      </w:r>
      <w:r>
        <w:rPr>
          <w:rFonts w:hint="eastAsia" w:ascii="仿宋_GB2312" w:hAnsi="仿宋_GB2312" w:eastAsia="仿宋_GB2312" w:cs="仿宋_GB2312"/>
          <w:color w:val="auto"/>
          <w:spacing w:val="0"/>
          <w:sz w:val="32"/>
          <w:szCs w:val="32"/>
          <w:shd w:val="clear" w:fill="FFFFFF"/>
          <w:vertAlign w:val="baseline"/>
        </w:rPr>
        <w:t>驻马店历史悠久、文化厚重，是华夏文明重要发祥地之一，春秋为古蔡国，战国属韩楚国，汉朝置汝南郡，唐宋时为蔡州，元朝设汝宁府，孕育出了盘古文化、嫘祖文化、驿站文化、车舆文化、冶铁铸剑文化和梁祝文化、重阳文化等灿烂文化，哺育出了韩非、李斯等一大批历史名人。驻马店是一片红色土地、革命沃土，确山竹沟是原中共中央中原局和原中共河南省委所在地，从这里走出了刘少奇、李先念、彭雪枫等革命先辈，被誉为革命的“小延安”；这里是抗日民族英雄杨靖宇将军的故乡，是刘邓大军千里跃进大别山著名的雷岗战役决胜之地。</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80" w:lineRule="exact"/>
        <w:ind w:left="0" w:right="0" w:firstLine="648" w:firstLineChars="200"/>
        <w:jc w:val="both"/>
        <w:textAlignment w:val="baseline"/>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b/>
          <w:bCs/>
          <w:color w:val="auto"/>
          <w:spacing w:val="0"/>
          <w:sz w:val="32"/>
          <w:szCs w:val="32"/>
          <w:shd w:val="clear" w:fill="FFFFFF"/>
          <w:vertAlign w:val="baseline"/>
          <w:lang w:eastAsia="zh-CN"/>
        </w:rPr>
        <w:t>生态优势：</w:t>
      </w:r>
      <w:r>
        <w:rPr>
          <w:rFonts w:hint="eastAsia" w:ascii="仿宋_GB2312" w:hAnsi="仿宋_GB2312" w:eastAsia="仿宋_GB2312" w:cs="仿宋_GB2312"/>
          <w:color w:val="auto"/>
          <w:spacing w:val="0"/>
          <w:sz w:val="32"/>
          <w:szCs w:val="32"/>
          <w:shd w:val="clear" w:fill="FFFFFF"/>
          <w:vertAlign w:val="baseline"/>
        </w:rPr>
        <w:t>山水秀美、生态宜居，位于淮河中上游北岸，处于北亚热带向暖温带的过渡地带，气候温和，雨量充沛，西部是丘陵山区，东部是黄淮平原，年均降水量近1000毫米，水系跨淮河、长江两大流域，有大中小型水库186座，大小河流100多条，总蓄水能力64亿立方米，林木绿化率33.8%，奇山、秀水、大平原，素有“诗意山水、传奇天中，休闲驿站、生态家园”的美誉。</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right="0" w:firstLine="648" w:firstLineChars="200"/>
        <w:jc w:val="left"/>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b/>
          <w:bCs/>
          <w:color w:val="auto"/>
          <w:spacing w:val="0"/>
          <w:sz w:val="32"/>
          <w:szCs w:val="32"/>
          <w:shd w:val="clear" w:fill="FFFFFF"/>
          <w:vertAlign w:val="baseline"/>
          <w:lang w:eastAsia="zh-CN"/>
        </w:rPr>
        <w:t>资源优势：</w:t>
      </w:r>
      <w:r>
        <w:rPr>
          <w:rFonts w:hint="eastAsia" w:ascii="仿宋_GB2312" w:hAnsi="仿宋_GB2312" w:eastAsia="仿宋_GB2312" w:cs="仿宋_GB2312"/>
          <w:color w:val="auto"/>
          <w:spacing w:val="0"/>
          <w:sz w:val="32"/>
          <w:szCs w:val="32"/>
          <w:shd w:val="clear" w:fill="FFFFFF"/>
          <w:vertAlign w:val="baseline"/>
        </w:rPr>
        <w:t>驻马店物产丰富、保障有力，素有“中原粮仓”“中州油库”“芝麻王国”之称，是国家重要的粮油、蔬菜、优质食用菌、调味品生产基地和中药材种植基地，常年粮食总产160亿斤，其中小麦总产占全国的1/28。平舆、泌阳、正阳分别是全国白芝麻、香菇、花生生产大县，全市9个县均为全国生猪调出大县，3个县为全国肉牛大县。</w:t>
      </w:r>
      <w:r>
        <w:rPr>
          <w:rFonts w:hint="eastAsia" w:ascii="仿宋_GB2312" w:hAnsi="仿宋_GB2312" w:eastAsia="仿宋_GB2312" w:cs="仿宋_GB2312"/>
          <w:color w:val="auto"/>
          <w:spacing w:val="0"/>
          <w:kern w:val="0"/>
          <w:sz w:val="32"/>
          <w:szCs w:val="32"/>
          <w:lang w:val="en-US" w:eastAsia="zh-CN" w:bidi="ar"/>
        </w:rPr>
        <w:t>拥有中国农产品加工业投资贸易洽谈会和中国（驻马店）国际农产品加工产业园两大高能级平台。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80" w:lineRule="exact"/>
        <w:ind w:left="0" w:right="0" w:firstLine="0" w:firstLineChars="0"/>
        <w:jc w:val="both"/>
        <w:textAlignment w:val="baseline"/>
        <w:rPr>
          <w:rFonts w:hint="eastAsia" w:ascii="仿宋_GB2312" w:hAnsi="仿宋_GB2312" w:eastAsia="仿宋_GB2312" w:cs="仿宋_GB2312"/>
          <w:color w:val="auto"/>
          <w:spacing w:val="0"/>
          <w:sz w:val="32"/>
          <w:szCs w:val="32"/>
        </w:rPr>
      </w:pPr>
    </w:p>
    <w:p>
      <w:pPr>
        <w:keepNext w:val="0"/>
        <w:keepLines w:val="0"/>
        <w:pageBreakBefore w:val="0"/>
        <w:kinsoku/>
        <w:wordWrap/>
        <w:overflowPunct/>
        <w:topLinePunct w:val="0"/>
        <w:autoSpaceDE/>
        <w:autoSpaceDN/>
        <w:bidi w:val="0"/>
        <w:adjustRightInd/>
        <w:snapToGrid/>
        <w:spacing w:beforeAutospacing="0" w:afterAutospacing="0" w:line="580" w:lineRule="exact"/>
        <w:ind w:left="0" w:right="0" w:firstLine="0" w:firstLineChars="0"/>
        <w:jc w:val="center"/>
        <w:rPr>
          <w:rFonts w:hint="eastAsia" w:ascii="仿宋_GB2312" w:hAnsi="仿宋_GB2312" w:eastAsia="仿宋_GB2312" w:cs="仿宋_GB2312"/>
          <w:color w:val="auto"/>
          <w:spacing w:val="0"/>
          <w:sz w:val="32"/>
          <w:szCs w:val="32"/>
          <w:lang w:eastAsia="zh-CN"/>
        </w:rPr>
      </w:pPr>
      <w:r>
        <w:rPr>
          <w:rFonts w:hint="eastAsia" w:ascii="仿宋_GB2312" w:hAnsi="仿宋_GB2312" w:eastAsia="仿宋_GB2312" w:cs="仿宋_GB2312"/>
          <w:color w:val="auto"/>
          <w:spacing w:val="0"/>
          <w:sz w:val="32"/>
          <w:szCs w:val="32"/>
        </w:rPr>
        <w:t xml:space="preserve">第三节 </w:t>
      </w:r>
      <w:r>
        <w:rPr>
          <w:rFonts w:hint="eastAsia" w:ascii="仿宋_GB2312" w:hAnsi="仿宋_GB2312" w:eastAsia="仿宋_GB2312" w:cs="仿宋_GB2312"/>
          <w:color w:val="auto"/>
          <w:spacing w:val="0"/>
          <w:sz w:val="32"/>
          <w:szCs w:val="32"/>
          <w:lang w:eastAsia="zh-CN"/>
        </w:rPr>
        <w:t>面临形势</w:t>
      </w:r>
    </w:p>
    <w:p>
      <w:pPr>
        <w:keepNext w:val="0"/>
        <w:keepLines w:val="0"/>
        <w:pageBreakBefore w:val="0"/>
        <w:kinsoku/>
        <w:wordWrap/>
        <w:overflowPunct/>
        <w:topLinePunct w:val="0"/>
        <w:autoSpaceDE/>
        <w:autoSpaceDN/>
        <w:bidi w:val="0"/>
        <w:adjustRightInd/>
        <w:snapToGrid/>
        <w:spacing w:beforeAutospacing="0" w:afterAutospacing="0" w:line="580" w:lineRule="exact"/>
        <w:ind w:left="0" w:right="0" w:firstLine="0" w:firstLineChars="0"/>
        <w:jc w:val="left"/>
        <w:rPr>
          <w:rFonts w:hint="eastAsia" w:ascii="仿宋_GB2312" w:hAnsi="仿宋_GB2312" w:eastAsia="仿宋_GB2312" w:cs="仿宋_GB2312"/>
          <w:color w:val="auto"/>
          <w:spacing w:val="0"/>
          <w:sz w:val="32"/>
          <w:szCs w:val="32"/>
        </w:rPr>
      </w:pPr>
    </w:p>
    <w:p>
      <w:pPr>
        <w:keepNext w:val="0"/>
        <w:keepLines w:val="0"/>
        <w:pageBreakBefore w:val="0"/>
        <w:kinsoku/>
        <w:wordWrap/>
        <w:overflowPunct/>
        <w:topLinePunct w:val="0"/>
        <w:autoSpaceDE/>
        <w:autoSpaceDN/>
        <w:bidi w:val="0"/>
        <w:adjustRightInd/>
        <w:snapToGrid/>
        <w:spacing w:beforeAutospacing="0" w:afterAutospacing="0" w:line="580" w:lineRule="exact"/>
        <w:ind w:left="0" w:right="0" w:firstLine="648" w:firstLineChars="200"/>
        <w:jc w:val="left"/>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b/>
          <w:bCs/>
          <w:color w:val="auto"/>
          <w:spacing w:val="0"/>
          <w:sz w:val="32"/>
          <w:szCs w:val="32"/>
        </w:rPr>
        <w:t>从国际看，</w:t>
      </w:r>
      <w:r>
        <w:rPr>
          <w:rFonts w:hint="eastAsia" w:ascii="仿宋_GB2312" w:hAnsi="仿宋_GB2312" w:eastAsia="仿宋_GB2312" w:cs="仿宋_GB2312"/>
          <w:color w:val="auto"/>
          <w:spacing w:val="0"/>
          <w:sz w:val="32"/>
          <w:szCs w:val="32"/>
        </w:rPr>
        <w:t>百年未有之大变局深入演进，国际环境深刻变化。我国日益进入世界舞台中央，综合国力、国际地位</w:t>
      </w:r>
      <w:r>
        <w:rPr>
          <w:rFonts w:hint="eastAsia" w:ascii="仿宋_GB2312" w:hAnsi="仿宋_GB2312" w:eastAsia="仿宋_GB2312" w:cs="仿宋_GB2312"/>
          <w:color w:val="auto"/>
          <w:spacing w:val="0"/>
          <w:sz w:val="32"/>
          <w:szCs w:val="32"/>
          <w:lang w:eastAsia="zh-CN"/>
        </w:rPr>
        <w:t>和</w:t>
      </w:r>
      <w:r>
        <w:rPr>
          <w:rFonts w:hint="eastAsia" w:ascii="仿宋_GB2312" w:hAnsi="仿宋_GB2312" w:eastAsia="仿宋_GB2312" w:cs="仿宋_GB2312"/>
          <w:color w:val="auto"/>
          <w:spacing w:val="0"/>
          <w:sz w:val="32"/>
          <w:szCs w:val="32"/>
        </w:rPr>
        <w:t>全球话语权大幅提升，西方发达国家占据世界中心、主导全球政治经济格局的局面将发生根本改变。数字经济、智能经济、生命经济等新技术、新产业、新业态持续催生，产业链供应链加速重构，推动人类生产方式、生活方式、生存方式发生翻天覆地变化。国际形势和新发展趋势，为</w:t>
      </w:r>
      <w:r>
        <w:rPr>
          <w:rFonts w:hint="eastAsia" w:ascii="仿宋_GB2312" w:hAnsi="仿宋_GB2312" w:eastAsia="仿宋_GB2312" w:cs="仿宋_GB2312"/>
          <w:color w:val="auto"/>
          <w:spacing w:val="0"/>
          <w:sz w:val="32"/>
          <w:szCs w:val="32"/>
          <w:lang w:eastAsia="zh-CN"/>
        </w:rPr>
        <w:t>驻马店</w:t>
      </w:r>
      <w:r>
        <w:rPr>
          <w:rFonts w:hint="eastAsia" w:ascii="仿宋_GB2312" w:hAnsi="仿宋_GB2312" w:eastAsia="仿宋_GB2312" w:cs="仿宋_GB2312"/>
          <w:color w:val="auto"/>
          <w:spacing w:val="0"/>
          <w:sz w:val="32"/>
          <w:szCs w:val="32"/>
        </w:rPr>
        <w:t>建设</w:t>
      </w:r>
      <w:r>
        <w:rPr>
          <w:rFonts w:hint="eastAsia" w:ascii="仿宋_GB2312" w:hAnsi="仿宋_GB2312" w:eastAsia="仿宋_GB2312" w:cs="仿宋_GB2312"/>
          <w:color w:val="auto"/>
          <w:spacing w:val="0"/>
          <w:sz w:val="32"/>
          <w:szCs w:val="32"/>
          <w:lang w:eastAsia="zh-CN"/>
        </w:rPr>
        <w:t>现代化区域</w:t>
      </w:r>
      <w:r>
        <w:rPr>
          <w:rFonts w:hint="eastAsia" w:ascii="仿宋_GB2312" w:hAnsi="仿宋_GB2312" w:eastAsia="仿宋_GB2312" w:cs="仿宋_GB2312"/>
          <w:color w:val="auto"/>
          <w:spacing w:val="0"/>
          <w:sz w:val="32"/>
          <w:szCs w:val="32"/>
        </w:rPr>
        <w:t>中心城市提供了新的历史机遇。</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right="0" w:firstLine="648" w:firstLineChars="200"/>
        <w:jc w:val="left"/>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b/>
          <w:bCs/>
          <w:color w:val="auto"/>
          <w:spacing w:val="0"/>
          <w:sz w:val="32"/>
          <w:szCs w:val="32"/>
        </w:rPr>
        <w:t>从国内看，</w:t>
      </w:r>
      <w:r>
        <w:rPr>
          <w:rFonts w:hint="eastAsia" w:ascii="仿宋_GB2312" w:hAnsi="仿宋_GB2312" w:eastAsia="仿宋_GB2312" w:cs="仿宋_GB2312"/>
          <w:color w:val="auto"/>
          <w:spacing w:val="0"/>
          <w:sz w:val="32"/>
          <w:szCs w:val="32"/>
        </w:rPr>
        <w:t>我国进入新发展阶段，新发展理念更加深入人心，以国内大循环为主体、国内国际双循环相互促进的新发展格局加速形成，体现社会主义本质要求的共同富裕取得更为明显的实质性进展。我国全方位、深层次、整体性的高水平改革开放和经济实力、科技实力、综合国力的大幅跃升</w:t>
      </w:r>
      <w:r>
        <w:rPr>
          <w:rFonts w:hint="eastAsia" w:ascii="仿宋_GB2312" w:hAnsi="仿宋_GB2312" w:eastAsia="仿宋_GB2312" w:cs="仿宋_GB2312"/>
          <w:color w:val="auto"/>
          <w:spacing w:val="0"/>
          <w:sz w:val="32"/>
          <w:szCs w:val="32"/>
          <w:lang w:eastAsia="zh-CN"/>
        </w:rPr>
        <w:t>。加上</w:t>
      </w:r>
      <w:r>
        <w:rPr>
          <w:rFonts w:hint="eastAsia" w:ascii="仿宋_GB2312" w:hAnsi="仿宋_GB2312" w:eastAsia="仿宋_GB2312" w:cs="仿宋_GB2312"/>
          <w:color w:val="auto"/>
          <w:spacing w:val="0"/>
          <w:kern w:val="0"/>
          <w:sz w:val="32"/>
          <w:szCs w:val="32"/>
          <w:lang w:val="en-US" w:eastAsia="zh-CN" w:bidi="ar"/>
        </w:rPr>
        <w:t>长三角一体化示范区、粤港澳大湾区等发达地区腾笼换鸟速度加快，为我们加快承接产业转移提供了机遇，</w:t>
      </w:r>
      <w:r>
        <w:rPr>
          <w:rFonts w:hint="eastAsia" w:ascii="仿宋_GB2312" w:hAnsi="仿宋_GB2312" w:eastAsia="仿宋_GB2312" w:cs="仿宋_GB2312"/>
          <w:color w:val="auto"/>
          <w:spacing w:val="0"/>
          <w:sz w:val="32"/>
          <w:szCs w:val="32"/>
        </w:rPr>
        <w:t>为</w:t>
      </w:r>
      <w:r>
        <w:rPr>
          <w:rFonts w:hint="eastAsia" w:ascii="仿宋_GB2312" w:hAnsi="仿宋_GB2312" w:eastAsia="仿宋_GB2312" w:cs="仿宋_GB2312"/>
          <w:color w:val="auto"/>
          <w:spacing w:val="0"/>
          <w:sz w:val="32"/>
          <w:szCs w:val="32"/>
          <w:lang w:eastAsia="zh-CN"/>
        </w:rPr>
        <w:t>驻马店</w:t>
      </w:r>
      <w:r>
        <w:rPr>
          <w:rFonts w:hint="eastAsia" w:ascii="仿宋_GB2312" w:hAnsi="仿宋_GB2312" w:eastAsia="仿宋_GB2312" w:cs="仿宋_GB2312"/>
          <w:color w:val="auto"/>
          <w:spacing w:val="0"/>
          <w:sz w:val="32"/>
          <w:szCs w:val="32"/>
        </w:rPr>
        <w:t>建设</w:t>
      </w:r>
      <w:r>
        <w:rPr>
          <w:rFonts w:hint="eastAsia" w:ascii="仿宋_GB2312" w:hAnsi="仿宋_GB2312" w:eastAsia="仿宋_GB2312" w:cs="仿宋_GB2312"/>
          <w:color w:val="auto"/>
          <w:spacing w:val="0"/>
          <w:sz w:val="32"/>
          <w:szCs w:val="32"/>
          <w:lang w:eastAsia="zh-CN"/>
        </w:rPr>
        <w:t>现代化区域</w:t>
      </w:r>
      <w:r>
        <w:rPr>
          <w:rFonts w:hint="eastAsia" w:ascii="仿宋_GB2312" w:hAnsi="仿宋_GB2312" w:eastAsia="仿宋_GB2312" w:cs="仿宋_GB2312"/>
          <w:color w:val="auto"/>
          <w:spacing w:val="0"/>
          <w:sz w:val="32"/>
          <w:szCs w:val="32"/>
        </w:rPr>
        <w:t>中心城市</w:t>
      </w:r>
      <w:r>
        <w:rPr>
          <w:rFonts w:hint="eastAsia" w:ascii="仿宋_GB2312" w:hAnsi="仿宋_GB2312" w:eastAsia="仿宋_GB2312" w:cs="仿宋_GB2312"/>
          <w:color w:val="auto"/>
          <w:spacing w:val="0"/>
          <w:kern w:val="0"/>
          <w:sz w:val="32"/>
          <w:szCs w:val="32"/>
          <w:lang w:val="en-US" w:eastAsia="zh-CN" w:bidi="ar"/>
        </w:rPr>
        <w:t>提供</w:t>
      </w:r>
      <w:r>
        <w:rPr>
          <w:rFonts w:hint="eastAsia" w:ascii="仿宋_GB2312" w:hAnsi="仿宋_GB2312" w:eastAsia="仿宋_GB2312" w:cs="仿宋_GB2312"/>
          <w:color w:val="auto"/>
          <w:spacing w:val="0"/>
          <w:sz w:val="32"/>
          <w:szCs w:val="32"/>
        </w:rPr>
        <w:t>持久的制度红利、丰裕的要素资源、强大的国内市场、优良的国内发展环境。</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right="0" w:firstLine="648" w:firstLineChars="200"/>
        <w:jc w:val="left"/>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b/>
          <w:bCs/>
          <w:color w:val="auto"/>
          <w:spacing w:val="0"/>
          <w:sz w:val="32"/>
          <w:szCs w:val="32"/>
        </w:rPr>
        <w:t>从省域看，</w:t>
      </w:r>
      <w:r>
        <w:rPr>
          <w:rFonts w:hint="eastAsia" w:ascii="仿宋_GB2312" w:hAnsi="仿宋_GB2312" w:eastAsia="仿宋_GB2312" w:cs="仿宋_GB2312"/>
          <w:color w:val="auto"/>
          <w:spacing w:val="0"/>
          <w:sz w:val="32"/>
          <w:szCs w:val="32"/>
        </w:rPr>
        <w:t>河南进入高质量发展阶段，面临着国家构建新发展格局、区域协调发展、中部地区高质量发展、推动黄河流域生态保护和高质量发展四大战略机遇，多领域战略平台融合联动的叠加效应持续显现，支撑国内大市场和链接国内国际双循环的功能地位持续提升，枢纽通道地位凸显、腹地支撑作用增强，正处于由大到强的重要关口。</w:t>
      </w:r>
      <w:r>
        <w:rPr>
          <w:rFonts w:hint="eastAsia" w:ascii="仿宋_GB2312" w:hAnsi="仿宋_GB2312" w:eastAsia="仿宋_GB2312" w:cs="仿宋_GB2312"/>
          <w:color w:val="auto"/>
          <w:spacing w:val="0"/>
          <w:kern w:val="0"/>
          <w:sz w:val="32"/>
          <w:szCs w:val="32"/>
          <w:lang w:val="en-US" w:eastAsia="zh-CN" w:bidi="ar"/>
        </w:rPr>
        <w:t>从区域协调发展的角度来看，河南与沿海发达省份尚有差距，在全省培育壮大一批区域中心城市、门户城市，形成各具特色的发展引擎，是未来一段时期河南优化区域布局、推进高质量发展的紧迫任务。</w:t>
      </w:r>
      <w:r>
        <w:rPr>
          <w:rFonts w:hint="eastAsia" w:ascii="仿宋_GB2312" w:hAnsi="仿宋_GB2312" w:eastAsia="仿宋_GB2312" w:cs="仿宋_GB2312"/>
          <w:color w:val="auto"/>
          <w:spacing w:val="0"/>
          <w:sz w:val="32"/>
          <w:szCs w:val="32"/>
        </w:rPr>
        <w:t>河南全省已经到了可以大有作为、为全国大局作出更大贡献的重要时期，将为</w:t>
      </w:r>
      <w:r>
        <w:rPr>
          <w:rFonts w:hint="eastAsia" w:ascii="仿宋_GB2312" w:hAnsi="仿宋_GB2312" w:eastAsia="仿宋_GB2312" w:cs="仿宋_GB2312"/>
          <w:color w:val="auto"/>
          <w:spacing w:val="0"/>
          <w:sz w:val="32"/>
          <w:szCs w:val="32"/>
          <w:lang w:eastAsia="zh-CN"/>
        </w:rPr>
        <w:t>驻马店</w:t>
      </w:r>
      <w:r>
        <w:rPr>
          <w:rFonts w:hint="eastAsia" w:ascii="仿宋_GB2312" w:hAnsi="仿宋_GB2312" w:eastAsia="仿宋_GB2312" w:cs="仿宋_GB2312"/>
          <w:color w:val="auto"/>
          <w:spacing w:val="0"/>
          <w:sz w:val="32"/>
          <w:szCs w:val="32"/>
        </w:rPr>
        <w:t>建设</w:t>
      </w:r>
      <w:r>
        <w:rPr>
          <w:rFonts w:hint="eastAsia" w:ascii="仿宋_GB2312" w:hAnsi="仿宋_GB2312" w:eastAsia="仿宋_GB2312" w:cs="仿宋_GB2312"/>
          <w:color w:val="auto"/>
          <w:spacing w:val="0"/>
          <w:sz w:val="32"/>
          <w:szCs w:val="32"/>
          <w:lang w:eastAsia="zh-CN"/>
        </w:rPr>
        <w:t>现代化区域</w:t>
      </w:r>
      <w:r>
        <w:rPr>
          <w:rFonts w:hint="eastAsia" w:ascii="仿宋_GB2312" w:hAnsi="仿宋_GB2312" w:eastAsia="仿宋_GB2312" w:cs="仿宋_GB2312"/>
          <w:color w:val="auto"/>
          <w:spacing w:val="0"/>
          <w:sz w:val="32"/>
          <w:szCs w:val="32"/>
        </w:rPr>
        <w:t>中心城市提供多方面有利条件。</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right="0" w:firstLine="0" w:firstLineChars="0"/>
        <w:jc w:val="left"/>
        <w:rPr>
          <w:rFonts w:hint="eastAsia" w:ascii="仿宋_GB2312" w:hAnsi="仿宋_GB2312" w:eastAsia="仿宋_GB2312" w:cs="仿宋_GB2312"/>
          <w:color w:val="auto"/>
          <w:spacing w:val="0"/>
          <w:sz w:val="32"/>
          <w:szCs w:val="32"/>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auto"/>
          <w:spacing w:val="0"/>
          <w:sz w:val="32"/>
          <w:szCs w:val="32"/>
        </w:rPr>
      </w:pPr>
      <w:r>
        <w:rPr>
          <w:rFonts w:hint="eastAsia" w:ascii="仿宋_GB2312" w:hAnsi="仿宋_GB2312" w:eastAsia="仿宋_GB2312" w:cs="仿宋_GB2312"/>
          <w:b/>
          <w:bCs/>
          <w:color w:val="auto"/>
          <w:spacing w:val="0"/>
          <w:sz w:val="32"/>
          <w:szCs w:val="32"/>
        </w:rPr>
        <w:t>从自身看，</w:t>
      </w:r>
      <w:r>
        <w:rPr>
          <w:rFonts w:hint="eastAsia" w:ascii="仿宋_GB2312" w:hAnsi="仿宋_GB2312" w:eastAsia="仿宋_GB2312" w:cs="仿宋_GB2312"/>
          <w:b w:val="0"/>
          <w:i w:val="0"/>
          <w:caps w:val="0"/>
          <w:color w:val="auto"/>
          <w:spacing w:val="0"/>
          <w:sz w:val="32"/>
          <w:szCs w:val="32"/>
          <w:shd w:val="clear" w:fill="FFFFFF"/>
          <w:vertAlign w:val="baseline"/>
        </w:rPr>
        <w:t>驻马店进入高质量发展阶段，开启现代化建设新征程，到了由大到强、实现更大发展的重要关口，到了可以大有作为、为全国全省大局作出更大贡献的重要时期。我国构建新发展格局以及扩大内需、中部地区崛起、淮河生态经济带建设、大别山革命老区振兴发展、乡村振兴等国家战略的实施，河南加快发展在国家发展格局中的地位上升，都给我们带来了难得的机遇。我市区位、人口、农业、生态等优势凸显，近几年快速发展缩小了与发达地区的差距，影响力、美誉度明显提升，为我们实现高质量跨越发展提供了强有力的支撑。产业体系基础、现代基础设施、开放平台等蓄积的发展后劲持续增强，千万人口大市新型城镇化和乡村振兴蕴含的内需潜力持续释放，生态优势作用持续显现，庞大人口资源质量提升转化的人力资本红利持续释放，天中文化凝聚的精神力量持续彰显，为我市打造现代化区域中心城市提供了优势和条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auto"/>
          <w:spacing w:val="0"/>
          <w:sz w:val="32"/>
          <w:szCs w:val="32"/>
        </w:rPr>
      </w:pPr>
      <w:r>
        <w:rPr>
          <w:rFonts w:hint="eastAsia" w:ascii="仿宋_GB2312" w:hAnsi="仿宋_GB2312" w:eastAsia="仿宋_GB2312" w:cs="仿宋_GB2312"/>
          <w:b w:val="0"/>
          <w:i w:val="0"/>
          <w:caps w:val="0"/>
          <w:color w:val="auto"/>
          <w:spacing w:val="0"/>
          <w:sz w:val="32"/>
          <w:szCs w:val="32"/>
          <w:shd w:val="clear" w:fill="FFFFFF"/>
          <w:vertAlign w:val="baseline"/>
        </w:rPr>
        <w:t>同时，我市发展质量不高的问题仍比较突出，新兴产业、高新技术产业发展滞后，县域经济、乡村经济还很薄弱，金融服务能力不强；大学少、科研单位少、创新平台少，企业创新能力弱，创新人才匮乏；人均主要经济指标相对落后，城镇化水平偏低，农业农村发展存在短板，社会事业发展不够充分；“放管服”改革</w:t>
      </w:r>
      <w:r>
        <w:rPr>
          <w:rFonts w:hint="eastAsia" w:ascii="仿宋_GB2312" w:hAnsi="仿宋_GB2312" w:eastAsia="仿宋_GB2312" w:cs="仿宋_GB2312"/>
          <w:b w:val="0"/>
          <w:i w:val="0"/>
          <w:caps w:val="0"/>
          <w:color w:val="auto"/>
          <w:spacing w:val="0"/>
          <w:sz w:val="32"/>
          <w:szCs w:val="32"/>
          <w:shd w:val="clear" w:fill="FFFFFF"/>
          <w:vertAlign w:val="baseline"/>
          <w:lang w:eastAsia="zh-CN"/>
        </w:rPr>
        <w:t>未完全</w:t>
      </w:r>
      <w:r>
        <w:rPr>
          <w:rFonts w:hint="eastAsia" w:ascii="仿宋_GB2312" w:hAnsi="仿宋_GB2312" w:eastAsia="仿宋_GB2312" w:cs="仿宋_GB2312"/>
          <w:b w:val="0"/>
          <w:i w:val="0"/>
          <w:caps w:val="0"/>
          <w:color w:val="auto"/>
          <w:spacing w:val="0"/>
          <w:sz w:val="32"/>
          <w:szCs w:val="32"/>
          <w:shd w:val="clear" w:fill="FFFFFF"/>
          <w:vertAlign w:val="baseline"/>
        </w:rPr>
        <w:t>到位，行政审批服务效率有待提高，诚信、法治环境建设还有很多问题，市场中介组织发育不够、服务水平较低。</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auto"/>
          <w:spacing w:val="0"/>
          <w:sz w:val="32"/>
          <w:szCs w:val="32"/>
        </w:rPr>
      </w:pPr>
      <w:r>
        <w:rPr>
          <w:rFonts w:hint="eastAsia" w:ascii="仿宋_GB2312" w:hAnsi="仿宋_GB2312" w:eastAsia="仿宋_GB2312" w:cs="仿宋_GB2312"/>
          <w:b w:val="0"/>
          <w:i w:val="0"/>
          <w:caps w:val="0"/>
          <w:color w:val="auto"/>
          <w:spacing w:val="0"/>
          <w:sz w:val="32"/>
          <w:szCs w:val="32"/>
          <w:shd w:val="clear" w:fill="FFFFFF"/>
          <w:vertAlign w:val="baseline"/>
        </w:rPr>
        <w:t>综合研判，我市正处于机遇叠加的“窗口期”、蓄势突破的“黄金期”、高质量跨越发展的“攻坚期”、群众美好生活需求的“凸显期”。面向未来，危中有机、变中有势，形势逼人、使命催人。全市上下要深刻认识新机遇的战略性、可塑性和新挑战的复杂性、全局性，认清形势、把握规律，增强机遇意识、风险意识，准确识变、科学应变、主动求变，善于趋利避害，在危机中育先机、于变局中开新局，以敢于争先的勇气、只争朝夕的精神，奋力开创社会主义现代化驻马店建设新局面。</w:t>
      </w:r>
    </w:p>
    <w:p>
      <w:pPr>
        <w:pStyle w:val="2"/>
        <w:keepNext w:val="0"/>
        <w:keepLines w:val="0"/>
        <w:pageBreakBefore w:val="0"/>
        <w:kinsoku/>
        <w:wordWrap/>
        <w:overflowPunct/>
        <w:topLinePunct w:val="0"/>
        <w:autoSpaceDE/>
        <w:autoSpaceDN/>
        <w:bidi w:val="0"/>
        <w:adjustRightInd/>
        <w:snapToGrid/>
        <w:spacing w:beforeAutospacing="0" w:afterAutospacing="0" w:line="580" w:lineRule="exact"/>
        <w:ind w:left="0" w:right="0" w:firstLine="0" w:firstLineChars="0"/>
        <w:jc w:val="center"/>
        <w:rPr>
          <w:rFonts w:hint="eastAsia" w:ascii="仿宋_GB2312" w:hAnsi="仿宋_GB2312" w:eastAsia="仿宋_GB2312" w:cs="仿宋_GB2312"/>
          <w:b/>
          <w:bCs/>
          <w:color w:val="auto"/>
          <w:spacing w:val="0"/>
          <w:sz w:val="32"/>
          <w:szCs w:val="32"/>
        </w:rPr>
      </w:pPr>
      <w:r>
        <w:rPr>
          <w:rFonts w:hint="eastAsia" w:ascii="仿宋_GB2312" w:hAnsi="仿宋_GB2312" w:eastAsia="仿宋_GB2312" w:cs="仿宋_GB2312"/>
          <w:b/>
          <w:bCs/>
          <w:color w:val="auto"/>
          <w:spacing w:val="0"/>
          <w:sz w:val="32"/>
          <w:szCs w:val="32"/>
        </w:rPr>
        <w:t>第二章</w:t>
      </w:r>
      <w:r>
        <w:rPr>
          <w:rFonts w:hint="eastAsia" w:ascii="仿宋_GB2312" w:hAnsi="仿宋_GB2312" w:eastAsia="仿宋_GB2312" w:cs="仿宋_GB2312"/>
          <w:b/>
          <w:bCs/>
          <w:color w:val="auto"/>
          <w:spacing w:val="0"/>
          <w:w w:val="150"/>
          <w:sz w:val="32"/>
          <w:szCs w:val="32"/>
        </w:rPr>
        <w:t xml:space="preserve"> </w:t>
      </w:r>
      <w:r>
        <w:rPr>
          <w:rFonts w:hint="eastAsia" w:ascii="仿宋_GB2312" w:hAnsi="仿宋_GB2312" w:eastAsia="仿宋_GB2312" w:cs="仿宋_GB2312"/>
          <w:b/>
          <w:bCs/>
          <w:color w:val="auto"/>
          <w:spacing w:val="0"/>
          <w:sz w:val="32"/>
          <w:szCs w:val="32"/>
        </w:rPr>
        <w:t>总体要求</w:t>
      </w:r>
    </w:p>
    <w:p>
      <w:pPr>
        <w:pStyle w:val="2"/>
        <w:keepNext w:val="0"/>
        <w:keepLines w:val="0"/>
        <w:pageBreakBefore w:val="0"/>
        <w:kinsoku/>
        <w:wordWrap/>
        <w:overflowPunct/>
        <w:topLinePunct w:val="0"/>
        <w:autoSpaceDE/>
        <w:autoSpaceDN/>
        <w:bidi w:val="0"/>
        <w:adjustRightInd/>
        <w:snapToGrid/>
        <w:spacing w:beforeAutospacing="0" w:afterAutospacing="0" w:line="580" w:lineRule="exact"/>
        <w:ind w:left="0" w:right="0" w:firstLine="0" w:firstLineChars="0"/>
        <w:rPr>
          <w:rFonts w:hint="eastAsia" w:ascii="仿宋_GB2312" w:hAnsi="仿宋_GB2312" w:eastAsia="仿宋_GB2312" w:cs="仿宋_GB2312"/>
          <w:color w:val="auto"/>
          <w:spacing w:val="0"/>
          <w:sz w:val="32"/>
          <w:szCs w:val="32"/>
        </w:rPr>
      </w:pPr>
    </w:p>
    <w:p>
      <w:pPr>
        <w:pStyle w:val="3"/>
        <w:keepNext w:val="0"/>
        <w:keepLines w:val="0"/>
        <w:pageBreakBefore w:val="0"/>
        <w:kinsoku/>
        <w:wordWrap/>
        <w:overflowPunct/>
        <w:topLinePunct w:val="0"/>
        <w:autoSpaceDE/>
        <w:autoSpaceDN/>
        <w:bidi w:val="0"/>
        <w:adjustRightInd/>
        <w:snapToGrid/>
        <w:spacing w:beforeAutospacing="0" w:afterAutospacing="0" w:line="580" w:lineRule="exact"/>
        <w:ind w:left="0" w:right="0" w:firstLine="0" w:firstLineChars="0"/>
        <w:rPr>
          <w:rFonts w:hint="eastAsia" w:ascii="仿宋_GB2312" w:hAnsi="仿宋_GB2312" w:eastAsia="仿宋_GB2312" w:cs="仿宋_GB2312"/>
          <w:b w:val="0"/>
          <w:bCs w:val="0"/>
          <w:color w:val="auto"/>
          <w:spacing w:val="0"/>
          <w:sz w:val="32"/>
          <w:szCs w:val="32"/>
        </w:rPr>
      </w:pPr>
      <w:bookmarkStart w:id="2" w:name="第一节  指导思想"/>
      <w:bookmarkEnd w:id="2"/>
      <w:bookmarkStart w:id="3" w:name="_bookmark5"/>
      <w:bookmarkEnd w:id="3"/>
      <w:r>
        <w:rPr>
          <w:rFonts w:hint="eastAsia" w:ascii="仿宋_GB2312" w:hAnsi="仿宋_GB2312" w:eastAsia="仿宋_GB2312" w:cs="仿宋_GB2312"/>
          <w:b w:val="0"/>
          <w:bCs w:val="0"/>
          <w:color w:val="auto"/>
          <w:spacing w:val="0"/>
          <w:sz w:val="32"/>
          <w:szCs w:val="32"/>
        </w:rPr>
        <w:t>第一节</w:t>
      </w:r>
      <w:r>
        <w:rPr>
          <w:rFonts w:hint="eastAsia" w:ascii="仿宋_GB2312" w:hAnsi="仿宋_GB2312" w:eastAsia="仿宋_GB2312" w:cs="仿宋_GB2312"/>
          <w:b w:val="0"/>
          <w:bCs w:val="0"/>
          <w:color w:val="auto"/>
          <w:spacing w:val="0"/>
          <w:w w:val="150"/>
          <w:sz w:val="32"/>
          <w:szCs w:val="32"/>
        </w:rPr>
        <w:t xml:space="preserve"> </w:t>
      </w:r>
      <w:r>
        <w:rPr>
          <w:rFonts w:hint="eastAsia" w:ascii="仿宋_GB2312" w:hAnsi="仿宋_GB2312" w:eastAsia="仿宋_GB2312" w:cs="仿宋_GB2312"/>
          <w:b w:val="0"/>
          <w:bCs w:val="0"/>
          <w:color w:val="auto"/>
          <w:spacing w:val="0"/>
          <w:sz w:val="32"/>
          <w:szCs w:val="32"/>
        </w:rPr>
        <w:t>指导思想</w:t>
      </w:r>
    </w:p>
    <w:p>
      <w:pPr>
        <w:pStyle w:val="2"/>
        <w:keepNext w:val="0"/>
        <w:keepLines w:val="0"/>
        <w:pageBreakBefore w:val="0"/>
        <w:kinsoku/>
        <w:wordWrap/>
        <w:overflowPunct/>
        <w:topLinePunct w:val="0"/>
        <w:autoSpaceDE/>
        <w:autoSpaceDN/>
        <w:bidi w:val="0"/>
        <w:adjustRightInd/>
        <w:snapToGrid/>
        <w:spacing w:beforeAutospacing="0" w:afterAutospacing="0" w:line="580" w:lineRule="exact"/>
        <w:ind w:left="0" w:right="0" w:firstLine="0" w:firstLineChars="0"/>
        <w:rPr>
          <w:rFonts w:hint="eastAsia" w:ascii="仿宋_GB2312" w:hAnsi="仿宋_GB2312" w:eastAsia="仿宋_GB2312" w:cs="仿宋_GB2312"/>
          <w:b/>
          <w:color w:val="auto"/>
          <w:spacing w:val="0"/>
          <w:sz w:val="32"/>
          <w:szCs w:val="32"/>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right="0" w:firstLine="648" w:firstLineChars="200"/>
        <w:jc w:val="left"/>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color w:val="auto"/>
          <w:spacing w:val="0"/>
          <w:sz w:val="32"/>
          <w:szCs w:val="32"/>
        </w:rPr>
        <w:t>以习近平新时代中国特色社会主义思想为指导，深入贯彻党的十九大和十九届二中、三中、四中、五中、六中</w:t>
      </w:r>
      <w:r>
        <w:rPr>
          <w:rFonts w:hint="eastAsia" w:ascii="仿宋_GB2312" w:hAnsi="仿宋_GB2312" w:eastAsia="仿宋_GB2312" w:cs="仿宋_GB2312"/>
          <w:color w:val="auto"/>
          <w:spacing w:val="0"/>
          <w:sz w:val="32"/>
          <w:szCs w:val="32"/>
          <w:lang w:eastAsia="zh-CN"/>
        </w:rPr>
        <w:t>、七中</w:t>
      </w:r>
      <w:r>
        <w:rPr>
          <w:rFonts w:hint="eastAsia" w:ascii="仿宋_GB2312" w:hAnsi="仿宋_GB2312" w:eastAsia="仿宋_GB2312" w:cs="仿宋_GB2312"/>
          <w:color w:val="auto"/>
          <w:spacing w:val="0"/>
          <w:sz w:val="32"/>
          <w:szCs w:val="32"/>
        </w:rPr>
        <w:t>全会精神和习近平总书记视察河南重要讲话精神，</w:t>
      </w:r>
      <w:r>
        <w:rPr>
          <w:rFonts w:hint="eastAsia" w:ascii="仿宋_GB2312" w:hAnsi="仿宋_GB2312" w:eastAsia="仿宋_GB2312" w:cs="仿宋_GB2312"/>
          <w:b w:val="0"/>
          <w:i w:val="0"/>
          <w:caps w:val="0"/>
          <w:color w:val="auto"/>
          <w:spacing w:val="0"/>
          <w:kern w:val="0"/>
          <w:sz w:val="32"/>
          <w:szCs w:val="32"/>
          <w:lang w:val="en-US" w:eastAsia="zh-CN" w:bidi="ar"/>
        </w:rPr>
        <w:t>楼阳生书记调研驻马店重要指示，</w:t>
      </w:r>
      <w:r>
        <w:rPr>
          <w:rFonts w:hint="eastAsia" w:ascii="仿宋_GB2312" w:hAnsi="仿宋_GB2312" w:eastAsia="仿宋_GB2312" w:cs="仿宋_GB2312"/>
          <w:color w:val="auto"/>
          <w:spacing w:val="0"/>
          <w:sz w:val="32"/>
          <w:szCs w:val="32"/>
        </w:rPr>
        <w:t>紧抓黄河流域生态保护和高质量发展重大国家战略、促进中部地区崛起战略机遇，统筹推进乡村振兴战略和新型城镇化战略，加快推动驻马店市建设成为</w:t>
      </w:r>
      <w:r>
        <w:rPr>
          <w:rFonts w:hint="eastAsia" w:ascii="仿宋_GB2312" w:hAnsi="仿宋_GB2312" w:eastAsia="仿宋_GB2312" w:cs="仿宋_GB2312"/>
          <w:color w:val="auto"/>
          <w:spacing w:val="0"/>
          <w:sz w:val="32"/>
          <w:szCs w:val="32"/>
          <w:lang w:eastAsia="zh-CN"/>
        </w:rPr>
        <w:t>现代化</w:t>
      </w:r>
      <w:r>
        <w:rPr>
          <w:rFonts w:hint="eastAsia" w:ascii="仿宋_GB2312" w:hAnsi="仿宋_GB2312" w:eastAsia="仿宋_GB2312" w:cs="仿宋_GB2312"/>
          <w:color w:val="auto"/>
          <w:spacing w:val="0"/>
          <w:sz w:val="32"/>
          <w:szCs w:val="32"/>
        </w:rPr>
        <w:t>区域中心城市。坚持稳中求进工作总基调，完整、准确、全面贯彻新发展理念，积极融入新发展格局，着力推动经济高质量发展。锚定省委“两个确保”“十大战略”，聚焦建设现代化</w:t>
      </w:r>
      <w:r>
        <w:rPr>
          <w:rFonts w:hint="eastAsia" w:ascii="仿宋_GB2312" w:hAnsi="仿宋_GB2312" w:eastAsia="仿宋_GB2312" w:cs="仿宋_GB2312"/>
          <w:color w:val="auto"/>
          <w:spacing w:val="0"/>
          <w:sz w:val="32"/>
          <w:szCs w:val="32"/>
          <w:lang w:eastAsia="zh-CN"/>
        </w:rPr>
        <w:t>区域</w:t>
      </w:r>
      <w:r>
        <w:rPr>
          <w:rFonts w:hint="eastAsia" w:ascii="仿宋_GB2312" w:hAnsi="仿宋_GB2312" w:eastAsia="仿宋_GB2312" w:cs="仿宋_GB2312"/>
          <w:color w:val="auto"/>
          <w:spacing w:val="0"/>
          <w:sz w:val="32"/>
          <w:szCs w:val="32"/>
        </w:rPr>
        <w:t>中心城市目标，坚持前瞻三十年谋篇布局，充分发挥生态本底、区位交通、产业基础、市场规模等突出优势，以高效生态经济为引领，以创新驱动为动力，以制造业高质量发展为基础，以区域开放合作为突破，</w:t>
      </w:r>
      <w:r>
        <w:rPr>
          <w:rFonts w:hint="eastAsia" w:ascii="仿宋_GB2312" w:hAnsi="仿宋_GB2312" w:eastAsia="仿宋_GB2312" w:cs="仿宋_GB2312"/>
          <w:b w:val="0"/>
          <w:bCs w:val="0"/>
          <w:color w:val="auto"/>
          <w:spacing w:val="0"/>
          <w:sz w:val="32"/>
          <w:szCs w:val="32"/>
          <w:u w:val="none" w:color="auto"/>
          <w:lang w:val="en-US" w:eastAsia="zh-CN"/>
        </w:rPr>
        <w:t>聚焦“593460”发力方向，</w:t>
      </w:r>
      <w:r>
        <w:rPr>
          <w:rFonts w:hint="eastAsia" w:ascii="仿宋_GB2312" w:hAnsi="仿宋_GB2312" w:eastAsia="仿宋_GB2312" w:cs="仿宋_GB2312"/>
          <w:color w:val="auto"/>
          <w:spacing w:val="0"/>
          <w:sz w:val="32"/>
          <w:szCs w:val="32"/>
        </w:rPr>
        <w:t>全面增强提升资源要素集聚和综合承载能力，打造衔接南北、联动东西的重要门户，加快形成辐射豫南区域、支撑全省高质量发展的新增长极。</w:t>
      </w:r>
      <w:r>
        <w:rPr>
          <w:rFonts w:hint="eastAsia" w:ascii="仿宋_GB2312" w:hAnsi="仿宋_GB2312" w:eastAsia="仿宋_GB2312" w:cs="仿宋_GB2312"/>
          <w:color w:val="auto"/>
          <w:spacing w:val="0"/>
          <w:kern w:val="0"/>
          <w:sz w:val="32"/>
          <w:szCs w:val="32"/>
          <w:lang w:val="en-US" w:eastAsia="zh-CN" w:bidi="ar"/>
        </w:rPr>
        <w:t>在建设现代化区域中心城市中展现新作为、取得新成绩。</w:t>
      </w:r>
    </w:p>
    <w:p>
      <w:pPr>
        <w:pStyle w:val="2"/>
        <w:keepNext w:val="0"/>
        <w:keepLines w:val="0"/>
        <w:pageBreakBefore w:val="0"/>
        <w:kinsoku/>
        <w:wordWrap/>
        <w:overflowPunct/>
        <w:topLinePunct w:val="0"/>
        <w:autoSpaceDE/>
        <w:autoSpaceDN/>
        <w:bidi w:val="0"/>
        <w:adjustRightInd/>
        <w:snapToGrid/>
        <w:spacing w:beforeAutospacing="0" w:afterAutospacing="0" w:line="580" w:lineRule="exact"/>
        <w:ind w:left="0" w:right="0" w:firstLine="0" w:firstLineChars="0"/>
        <w:rPr>
          <w:rFonts w:hint="eastAsia" w:ascii="仿宋_GB2312" w:hAnsi="仿宋_GB2312" w:eastAsia="仿宋_GB2312" w:cs="仿宋_GB2312"/>
          <w:color w:val="auto"/>
          <w:spacing w:val="0"/>
          <w:sz w:val="32"/>
          <w:szCs w:val="32"/>
        </w:rPr>
      </w:pPr>
    </w:p>
    <w:p>
      <w:pPr>
        <w:pStyle w:val="3"/>
        <w:keepNext w:val="0"/>
        <w:keepLines w:val="0"/>
        <w:pageBreakBefore w:val="0"/>
        <w:kinsoku/>
        <w:wordWrap/>
        <w:overflowPunct/>
        <w:topLinePunct w:val="0"/>
        <w:autoSpaceDE/>
        <w:autoSpaceDN/>
        <w:bidi w:val="0"/>
        <w:adjustRightInd/>
        <w:snapToGrid/>
        <w:spacing w:beforeAutospacing="0" w:afterAutospacing="0" w:line="580" w:lineRule="exact"/>
        <w:ind w:left="0" w:right="0" w:firstLine="0" w:firstLineChars="0"/>
        <w:rPr>
          <w:rFonts w:hint="eastAsia" w:ascii="仿宋_GB2312" w:hAnsi="仿宋_GB2312" w:eastAsia="仿宋_GB2312" w:cs="仿宋_GB2312"/>
          <w:b w:val="0"/>
          <w:bCs w:val="0"/>
          <w:color w:val="auto"/>
          <w:spacing w:val="0"/>
          <w:kern w:val="2"/>
          <w:sz w:val="32"/>
          <w:szCs w:val="32"/>
          <w:lang w:val="en-US" w:eastAsia="zh-CN" w:bidi="ar-SA"/>
        </w:rPr>
      </w:pPr>
      <w:bookmarkStart w:id="4" w:name="第二节  基本原则"/>
      <w:bookmarkEnd w:id="4"/>
      <w:bookmarkStart w:id="5" w:name="_bookmark6"/>
      <w:bookmarkEnd w:id="5"/>
      <w:r>
        <w:rPr>
          <w:rFonts w:hint="eastAsia" w:ascii="仿宋_GB2312" w:hAnsi="仿宋_GB2312" w:eastAsia="仿宋_GB2312" w:cs="仿宋_GB2312"/>
          <w:b w:val="0"/>
          <w:bCs w:val="0"/>
          <w:color w:val="auto"/>
          <w:spacing w:val="0"/>
          <w:kern w:val="2"/>
          <w:sz w:val="32"/>
          <w:szCs w:val="32"/>
          <w:lang w:val="en-US" w:eastAsia="zh-CN" w:bidi="ar-SA"/>
        </w:rPr>
        <w:t xml:space="preserve">第二节 </w:t>
      </w:r>
      <w:r>
        <w:rPr>
          <w:rFonts w:hint="eastAsia" w:ascii="楷体" w:hAnsi="楷体" w:eastAsia="楷体" w:cs="楷体"/>
          <w:b w:val="0"/>
          <w:bCs w:val="0"/>
          <w:color w:val="auto"/>
          <w:spacing w:val="11"/>
          <w:w w:val="100"/>
          <w:sz w:val="32"/>
          <w:szCs w:val="32"/>
          <w:lang w:val="en-US" w:eastAsia="zh-CN"/>
        </w:rPr>
        <w:t>工作原则</w:t>
      </w:r>
      <w:r>
        <w:rPr>
          <w:rFonts w:hint="eastAsia" w:ascii="仿宋_GB2312" w:hAnsi="仿宋_GB2312" w:eastAsia="仿宋_GB2312" w:cs="仿宋_GB2312"/>
          <w:b w:val="0"/>
          <w:bCs w:val="0"/>
          <w:color w:val="auto"/>
          <w:spacing w:val="0"/>
          <w:kern w:val="2"/>
          <w:sz w:val="32"/>
          <w:szCs w:val="32"/>
          <w:lang w:val="en-US" w:eastAsia="zh-CN" w:bidi="ar-SA"/>
        </w:rPr>
        <w:t xml:space="preserve"> </w:t>
      </w:r>
    </w:p>
    <w:p>
      <w:pPr>
        <w:pStyle w:val="2"/>
        <w:keepNext w:val="0"/>
        <w:keepLines w:val="0"/>
        <w:pageBreakBefore w:val="0"/>
        <w:kinsoku/>
        <w:wordWrap/>
        <w:overflowPunct/>
        <w:topLinePunct w:val="0"/>
        <w:autoSpaceDE/>
        <w:autoSpaceDN/>
        <w:bidi w:val="0"/>
        <w:adjustRightInd/>
        <w:snapToGrid/>
        <w:spacing w:beforeAutospacing="0" w:afterAutospacing="0" w:line="580" w:lineRule="exact"/>
        <w:ind w:left="0" w:right="0" w:firstLine="0" w:firstLineChars="0"/>
        <w:rPr>
          <w:rFonts w:hint="eastAsia" w:ascii="仿宋_GB2312" w:hAnsi="仿宋_GB2312" w:eastAsia="仿宋_GB2312" w:cs="仿宋_GB2312"/>
          <w:b w:val="0"/>
          <w:bCs w:val="0"/>
          <w:color w:val="auto"/>
          <w:spacing w:val="0"/>
          <w:kern w:val="2"/>
          <w:sz w:val="32"/>
          <w:szCs w:val="32"/>
          <w:lang w:val="en-US" w:eastAsia="zh-CN" w:bidi="ar-SA"/>
        </w:rPr>
      </w:pPr>
    </w:p>
    <w:p>
      <w:pPr>
        <w:pStyle w:val="2"/>
        <w:keepNext w:val="0"/>
        <w:keepLines w:val="0"/>
        <w:pageBreakBefore w:val="0"/>
        <w:kinsoku/>
        <w:wordWrap/>
        <w:overflowPunct/>
        <w:topLinePunct w:val="0"/>
        <w:autoSpaceDE/>
        <w:autoSpaceDN/>
        <w:bidi w:val="0"/>
        <w:adjustRightInd/>
        <w:snapToGrid/>
        <w:spacing w:beforeAutospacing="0" w:afterAutospacing="0" w:line="580" w:lineRule="exact"/>
        <w:ind w:left="0" w:right="0" w:firstLine="648" w:firstLineChars="200"/>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b/>
          <w:bCs/>
          <w:color w:val="auto"/>
          <w:spacing w:val="0"/>
          <w:kern w:val="2"/>
          <w:sz w:val="32"/>
          <w:szCs w:val="32"/>
          <w:lang w:val="en-US" w:eastAsia="zh-CN" w:bidi="ar-SA"/>
        </w:rPr>
        <w:t>坚持立足长远、适度超前。</w:t>
      </w:r>
      <w:r>
        <w:rPr>
          <w:rFonts w:hint="eastAsia" w:ascii="仿宋_GB2312" w:hAnsi="仿宋_GB2312" w:eastAsia="仿宋_GB2312" w:cs="仿宋_GB2312"/>
          <w:b w:val="0"/>
          <w:bCs w:val="0"/>
          <w:color w:val="auto"/>
          <w:spacing w:val="0"/>
          <w:kern w:val="2"/>
          <w:sz w:val="32"/>
          <w:szCs w:val="32"/>
          <w:lang w:val="en-US" w:eastAsia="zh-CN" w:bidi="ar-SA"/>
        </w:rPr>
        <w:t>把系统观念作为基础性思想和工作方法，按照“前瞻 30 年、编细 15 年、做实近 5 年”的要求，进一步拉高标杆，全局性谋划、战略性布局、整体</w:t>
      </w:r>
      <w:r>
        <w:rPr>
          <w:rFonts w:hint="eastAsia" w:ascii="仿宋_GB2312" w:hAnsi="仿宋_GB2312" w:eastAsia="仿宋_GB2312" w:cs="仿宋_GB2312"/>
          <w:color w:val="auto"/>
          <w:spacing w:val="0"/>
          <w:sz w:val="32"/>
          <w:szCs w:val="32"/>
        </w:rPr>
        <w:t>性推进</w:t>
      </w:r>
      <w:r>
        <w:rPr>
          <w:rFonts w:hint="eastAsia" w:ascii="仿宋_GB2312" w:hAnsi="仿宋_GB2312" w:eastAsia="仿宋_GB2312" w:cs="仿宋_GB2312"/>
          <w:color w:val="auto"/>
          <w:spacing w:val="0"/>
          <w:sz w:val="32"/>
          <w:szCs w:val="32"/>
          <w:lang w:eastAsia="zh-CN"/>
        </w:rPr>
        <w:t>现代化</w:t>
      </w:r>
      <w:r>
        <w:rPr>
          <w:rFonts w:hint="eastAsia" w:ascii="仿宋_GB2312" w:hAnsi="仿宋_GB2312" w:eastAsia="仿宋_GB2312" w:cs="仿宋_GB2312"/>
          <w:color w:val="auto"/>
          <w:spacing w:val="0"/>
          <w:sz w:val="32"/>
          <w:szCs w:val="32"/>
        </w:rPr>
        <w:t>区域中心城市建设，全面提升城市规模能级，不断增强城市承载力、辐射力、带动力。</w:t>
      </w:r>
    </w:p>
    <w:p>
      <w:pPr>
        <w:pStyle w:val="2"/>
        <w:keepNext w:val="0"/>
        <w:keepLines w:val="0"/>
        <w:pageBreakBefore w:val="0"/>
        <w:kinsoku/>
        <w:wordWrap/>
        <w:overflowPunct/>
        <w:topLinePunct w:val="0"/>
        <w:autoSpaceDE/>
        <w:autoSpaceDN/>
        <w:bidi w:val="0"/>
        <w:adjustRightInd/>
        <w:snapToGrid/>
        <w:spacing w:beforeAutospacing="0" w:afterAutospacing="0" w:line="580" w:lineRule="exact"/>
        <w:ind w:left="0" w:right="0" w:firstLine="648" w:firstLineChars="200"/>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b/>
          <w:color w:val="auto"/>
          <w:spacing w:val="0"/>
          <w:sz w:val="32"/>
          <w:szCs w:val="32"/>
        </w:rPr>
        <w:t>坚持生态优先、绿色发展。</w:t>
      </w:r>
      <w:r>
        <w:rPr>
          <w:rFonts w:hint="eastAsia" w:ascii="仿宋_GB2312" w:hAnsi="仿宋_GB2312" w:eastAsia="仿宋_GB2312" w:cs="仿宋_GB2312"/>
          <w:color w:val="auto"/>
          <w:spacing w:val="0"/>
          <w:sz w:val="32"/>
          <w:szCs w:val="32"/>
        </w:rPr>
        <w:t>将生态文明建设融入到经济建设、政治建设、文化建设、社会建设各方面和全过程，加快形成节约资源和保护环境的产业结构、能源结构、生产方式和生活方式，推动经济社会发展建立在资源高效利用和绿色低碳发展的基础之上，建设天蓝地绿水秀的幸福美丽</w:t>
      </w:r>
      <w:r>
        <w:rPr>
          <w:rFonts w:hint="eastAsia" w:ascii="仿宋_GB2312" w:hAnsi="仿宋_GB2312" w:eastAsia="仿宋_GB2312" w:cs="仿宋_GB2312"/>
          <w:color w:val="auto"/>
          <w:spacing w:val="0"/>
          <w:sz w:val="32"/>
          <w:szCs w:val="32"/>
          <w:lang w:eastAsia="zh-CN"/>
        </w:rPr>
        <w:t>驻马店</w:t>
      </w:r>
      <w:r>
        <w:rPr>
          <w:rFonts w:hint="eastAsia" w:ascii="仿宋_GB2312" w:hAnsi="仿宋_GB2312" w:eastAsia="仿宋_GB2312" w:cs="仿宋_GB2312"/>
          <w:color w:val="auto"/>
          <w:spacing w:val="0"/>
          <w:sz w:val="32"/>
          <w:szCs w:val="32"/>
        </w:rPr>
        <w:t>。</w:t>
      </w:r>
    </w:p>
    <w:p>
      <w:pPr>
        <w:pStyle w:val="2"/>
        <w:keepNext w:val="0"/>
        <w:keepLines w:val="0"/>
        <w:pageBreakBefore w:val="0"/>
        <w:kinsoku/>
        <w:wordWrap/>
        <w:overflowPunct/>
        <w:topLinePunct w:val="0"/>
        <w:autoSpaceDE/>
        <w:autoSpaceDN/>
        <w:bidi w:val="0"/>
        <w:adjustRightInd/>
        <w:snapToGrid/>
        <w:spacing w:beforeAutospacing="0" w:afterAutospacing="0" w:line="580" w:lineRule="exact"/>
        <w:ind w:left="0" w:right="0" w:firstLine="648" w:firstLineChars="200"/>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b/>
          <w:color w:val="auto"/>
          <w:spacing w:val="0"/>
          <w:sz w:val="32"/>
          <w:szCs w:val="32"/>
        </w:rPr>
        <w:t>坚持以人为本、宜居宜业。</w:t>
      </w:r>
      <w:r>
        <w:rPr>
          <w:rFonts w:hint="eastAsia" w:ascii="仿宋_GB2312" w:hAnsi="仿宋_GB2312" w:eastAsia="仿宋_GB2312" w:cs="仿宋_GB2312"/>
          <w:color w:val="auto"/>
          <w:spacing w:val="0"/>
          <w:sz w:val="32"/>
          <w:szCs w:val="32"/>
        </w:rPr>
        <w:t>找准发展条件、发展基础、发展优势等长板，剖析城市治理、民生改善、生态保护等短板，顺应群众对高品质生活的需求，在生态环境、产业发展、基础设施建设、民生领域等各方面找到突破口，整合资源，扬长补短，激发城市发展动能，营造更有温度的城市空间。</w:t>
      </w:r>
    </w:p>
    <w:p>
      <w:pPr>
        <w:pStyle w:val="2"/>
        <w:keepNext w:val="0"/>
        <w:keepLines w:val="0"/>
        <w:pageBreakBefore w:val="0"/>
        <w:kinsoku/>
        <w:wordWrap/>
        <w:overflowPunct/>
        <w:topLinePunct w:val="0"/>
        <w:autoSpaceDE/>
        <w:autoSpaceDN/>
        <w:bidi w:val="0"/>
        <w:adjustRightInd/>
        <w:snapToGrid/>
        <w:spacing w:beforeAutospacing="0" w:afterAutospacing="0" w:line="580" w:lineRule="exact"/>
        <w:ind w:left="0" w:right="0" w:firstLine="648" w:firstLineChars="200"/>
        <w:jc w:val="both"/>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b/>
          <w:color w:val="auto"/>
          <w:spacing w:val="0"/>
          <w:sz w:val="32"/>
          <w:szCs w:val="32"/>
        </w:rPr>
        <w:t>坚持市场驱动、创新驱动。</w:t>
      </w:r>
      <w:r>
        <w:rPr>
          <w:rFonts w:hint="eastAsia" w:ascii="仿宋_GB2312" w:hAnsi="仿宋_GB2312" w:eastAsia="仿宋_GB2312" w:cs="仿宋_GB2312"/>
          <w:color w:val="auto"/>
          <w:spacing w:val="0"/>
          <w:sz w:val="32"/>
          <w:szCs w:val="32"/>
        </w:rPr>
        <w:t>强化创新在现代化建设中的核心地位，不断加强技术创新、理念创新、政策创新、体制创新、平台创新、服务创新。充分发挥市场配置资源的决定性作用，提高供给结构对需求结构的适应性、匹配度，加快推进以市场化改革为核心的全面改革。</w:t>
      </w:r>
    </w:p>
    <w:p>
      <w:pPr>
        <w:pStyle w:val="2"/>
        <w:keepNext w:val="0"/>
        <w:keepLines w:val="0"/>
        <w:pageBreakBefore w:val="0"/>
        <w:kinsoku/>
        <w:wordWrap/>
        <w:overflowPunct/>
        <w:topLinePunct w:val="0"/>
        <w:autoSpaceDE/>
        <w:autoSpaceDN/>
        <w:bidi w:val="0"/>
        <w:adjustRightInd/>
        <w:snapToGrid/>
        <w:spacing w:beforeAutospacing="0" w:afterAutospacing="0" w:line="580" w:lineRule="exact"/>
        <w:ind w:left="0" w:right="0" w:firstLine="648" w:firstLineChars="200"/>
        <w:jc w:val="both"/>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b/>
          <w:color w:val="auto"/>
          <w:spacing w:val="0"/>
          <w:sz w:val="32"/>
          <w:szCs w:val="32"/>
        </w:rPr>
        <w:t>坚持内畅外联、区域协同。</w:t>
      </w:r>
      <w:r>
        <w:rPr>
          <w:rFonts w:hint="eastAsia" w:ascii="仿宋_GB2312" w:hAnsi="仿宋_GB2312" w:eastAsia="仿宋_GB2312" w:cs="仿宋_GB2312"/>
          <w:color w:val="auto"/>
          <w:spacing w:val="0"/>
          <w:sz w:val="32"/>
          <w:szCs w:val="32"/>
        </w:rPr>
        <w:t>按照区域一体化发展要求，高起点规划、高水平建设、高速度推进现代交通、能源、水利、信息网络等基础设施建设，优化节点和枢纽布局。激活开放型经济与本土经济间的联动效应，坚持需求侧管理与供给侧改革协同并进，促进内外开放融合，努力推动实现“内循环为主、外循环赋能、双循环畅通”</w:t>
      </w:r>
    </w:p>
    <w:p>
      <w:pPr>
        <w:keepNext w:val="0"/>
        <w:keepLines w:val="0"/>
        <w:pageBreakBefore w:val="0"/>
        <w:kinsoku/>
        <w:wordWrap/>
        <w:overflowPunct/>
        <w:topLinePunct w:val="0"/>
        <w:autoSpaceDE/>
        <w:autoSpaceDN/>
        <w:bidi w:val="0"/>
        <w:adjustRightInd/>
        <w:snapToGrid/>
        <w:spacing w:beforeAutospacing="0" w:after="0" w:afterAutospacing="0" w:line="580" w:lineRule="exact"/>
        <w:ind w:left="0" w:right="0" w:firstLine="0" w:firstLineChars="0"/>
        <w:jc w:val="both"/>
        <w:rPr>
          <w:rFonts w:hint="eastAsia" w:ascii="仿宋_GB2312" w:hAnsi="仿宋_GB2312" w:eastAsia="仿宋_GB2312" w:cs="仿宋_GB2312"/>
          <w:color w:val="auto"/>
          <w:spacing w:val="0"/>
          <w:sz w:val="32"/>
          <w:szCs w:val="32"/>
        </w:rPr>
      </w:pPr>
    </w:p>
    <w:p>
      <w:pPr>
        <w:pStyle w:val="3"/>
        <w:keepNext w:val="0"/>
        <w:keepLines w:val="0"/>
        <w:pageBreakBefore w:val="0"/>
        <w:kinsoku/>
        <w:wordWrap/>
        <w:overflowPunct/>
        <w:topLinePunct w:val="0"/>
        <w:autoSpaceDE/>
        <w:autoSpaceDN/>
        <w:bidi w:val="0"/>
        <w:adjustRightInd/>
        <w:snapToGrid/>
        <w:spacing w:beforeAutospacing="0" w:afterAutospacing="0" w:line="580" w:lineRule="exact"/>
        <w:ind w:left="0" w:right="0" w:firstLine="0" w:firstLineChars="0"/>
        <w:rPr>
          <w:rFonts w:hint="eastAsia" w:ascii="仿宋_GB2312" w:hAnsi="仿宋_GB2312" w:eastAsia="仿宋_GB2312" w:cs="仿宋_GB2312"/>
          <w:b w:val="0"/>
          <w:bCs w:val="0"/>
          <w:color w:val="auto"/>
          <w:spacing w:val="0"/>
          <w:sz w:val="32"/>
          <w:szCs w:val="32"/>
        </w:rPr>
      </w:pPr>
      <w:r>
        <w:rPr>
          <w:rFonts w:hint="eastAsia" w:ascii="仿宋_GB2312" w:hAnsi="仿宋_GB2312" w:eastAsia="仿宋_GB2312" w:cs="仿宋_GB2312"/>
          <w:b w:val="0"/>
          <w:bCs w:val="0"/>
          <w:color w:val="auto"/>
          <w:spacing w:val="0"/>
          <w:sz w:val="32"/>
          <w:szCs w:val="32"/>
        </w:rPr>
        <w:t>第三节</w:t>
      </w:r>
      <w:r>
        <w:rPr>
          <w:rFonts w:hint="eastAsia" w:ascii="仿宋_GB2312" w:hAnsi="仿宋_GB2312" w:eastAsia="仿宋_GB2312" w:cs="仿宋_GB2312"/>
          <w:b w:val="0"/>
          <w:bCs w:val="0"/>
          <w:color w:val="auto"/>
          <w:spacing w:val="0"/>
          <w:w w:val="150"/>
          <w:sz w:val="32"/>
          <w:szCs w:val="32"/>
        </w:rPr>
        <w:t xml:space="preserve"> </w:t>
      </w:r>
      <w:r>
        <w:rPr>
          <w:rFonts w:hint="eastAsia" w:ascii="仿宋_GB2312" w:hAnsi="仿宋_GB2312" w:eastAsia="仿宋_GB2312" w:cs="仿宋_GB2312"/>
          <w:b w:val="0"/>
          <w:bCs w:val="0"/>
          <w:color w:val="auto"/>
          <w:spacing w:val="0"/>
          <w:sz w:val="32"/>
          <w:szCs w:val="32"/>
        </w:rPr>
        <w:t>发展目标</w:t>
      </w:r>
    </w:p>
    <w:p>
      <w:pPr>
        <w:pStyle w:val="2"/>
        <w:keepNext w:val="0"/>
        <w:keepLines w:val="0"/>
        <w:pageBreakBefore w:val="0"/>
        <w:kinsoku/>
        <w:wordWrap/>
        <w:overflowPunct/>
        <w:topLinePunct w:val="0"/>
        <w:autoSpaceDE/>
        <w:autoSpaceDN/>
        <w:bidi w:val="0"/>
        <w:adjustRightInd/>
        <w:snapToGrid/>
        <w:spacing w:beforeAutospacing="0" w:afterAutospacing="0" w:line="580" w:lineRule="exact"/>
        <w:ind w:left="0" w:right="0" w:firstLine="0" w:firstLineChars="0"/>
        <w:rPr>
          <w:rFonts w:hint="eastAsia" w:ascii="仿宋_GB2312" w:hAnsi="仿宋_GB2312" w:eastAsia="仿宋_GB2312" w:cs="仿宋_GB2312"/>
          <w:b/>
          <w:color w:val="auto"/>
          <w:spacing w:val="0"/>
          <w:sz w:val="32"/>
          <w:szCs w:val="32"/>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right="0" w:firstLine="648" w:firstLineChars="200"/>
        <w:jc w:val="left"/>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b/>
          <w:color w:val="auto"/>
          <w:spacing w:val="0"/>
          <w:sz w:val="32"/>
          <w:szCs w:val="32"/>
        </w:rPr>
        <w:t>2025 年短期发展目标：</w:t>
      </w:r>
      <w:r>
        <w:rPr>
          <w:rFonts w:hint="eastAsia" w:ascii="仿宋_GB2312" w:hAnsi="仿宋_GB2312" w:eastAsia="仿宋_GB2312" w:cs="仿宋_GB2312"/>
          <w:color w:val="auto"/>
          <w:spacing w:val="0"/>
          <w:sz w:val="32"/>
          <w:szCs w:val="32"/>
        </w:rPr>
        <w:t>发展质量效益明显提升，</w:t>
      </w:r>
      <w:r>
        <w:rPr>
          <w:rFonts w:hint="eastAsia" w:ascii="仿宋_GB2312" w:hAnsi="仿宋_GB2312" w:eastAsia="仿宋_GB2312" w:cs="仿宋_GB2312"/>
          <w:color w:val="auto"/>
          <w:spacing w:val="0"/>
          <w:sz w:val="32"/>
          <w:szCs w:val="32"/>
          <w:lang w:eastAsia="zh-CN"/>
        </w:rPr>
        <w:t>地区生产总值年均增长</w:t>
      </w:r>
      <w:r>
        <w:rPr>
          <w:rFonts w:hint="eastAsia" w:ascii="仿宋_GB2312" w:hAnsi="仿宋_GB2312" w:eastAsia="仿宋_GB2312" w:cs="仿宋_GB2312"/>
          <w:color w:val="auto"/>
          <w:spacing w:val="0"/>
          <w:sz w:val="32"/>
          <w:szCs w:val="32"/>
          <w:lang w:val="en-US" w:eastAsia="zh-CN"/>
        </w:rPr>
        <w:t>7%</w:t>
      </w:r>
      <w:r>
        <w:rPr>
          <w:rFonts w:hint="eastAsia" w:ascii="仿宋_GB2312" w:hAnsi="仿宋_GB2312" w:eastAsia="仿宋_GB2312" w:cs="仿宋_GB2312"/>
          <w:color w:val="auto"/>
          <w:spacing w:val="0"/>
          <w:sz w:val="32"/>
          <w:szCs w:val="32"/>
        </w:rPr>
        <w:t>，</w:t>
      </w:r>
      <w:r>
        <w:rPr>
          <w:rFonts w:hint="eastAsia" w:ascii="仿宋_GB2312" w:hAnsi="仿宋_GB2312" w:eastAsia="仿宋_GB2312" w:cs="仿宋_GB2312"/>
          <w:color w:val="auto"/>
          <w:spacing w:val="0"/>
          <w:sz w:val="32"/>
          <w:szCs w:val="32"/>
          <w:lang w:eastAsia="zh-CN"/>
        </w:rPr>
        <w:t>全员劳动生产率年均增长</w:t>
      </w:r>
      <w:r>
        <w:rPr>
          <w:rFonts w:hint="eastAsia" w:ascii="仿宋_GB2312" w:hAnsi="仿宋_GB2312" w:eastAsia="仿宋_GB2312" w:cs="仿宋_GB2312"/>
          <w:color w:val="auto"/>
          <w:spacing w:val="0"/>
          <w:sz w:val="32"/>
          <w:szCs w:val="32"/>
          <w:lang w:val="en-US" w:eastAsia="zh-CN"/>
        </w:rPr>
        <w:t>6.5%，</w:t>
      </w:r>
      <w:r>
        <w:rPr>
          <w:rFonts w:hint="eastAsia" w:ascii="仿宋_GB2312" w:hAnsi="仿宋_GB2312" w:eastAsia="仿宋_GB2312" w:cs="仿宋_GB2312"/>
          <w:spacing w:val="0"/>
          <w:sz w:val="32"/>
          <w:szCs w:val="32"/>
        </w:rPr>
        <w:t>全市常住人口城镇化率年均提高1.5</w:t>
      </w:r>
      <w:r>
        <w:rPr>
          <w:rFonts w:hint="eastAsia" w:ascii="仿宋_GB2312" w:hAnsi="仿宋_GB2312" w:eastAsia="仿宋_GB2312" w:cs="仿宋_GB2312"/>
          <w:spacing w:val="0"/>
          <w:sz w:val="32"/>
          <w:szCs w:val="32"/>
          <w:lang w:val="en-US" w:eastAsia="zh-CN"/>
        </w:rPr>
        <w:t>%</w:t>
      </w:r>
      <w:r>
        <w:rPr>
          <w:rFonts w:hint="eastAsia" w:ascii="仿宋_GB2312" w:hAnsi="仿宋_GB2312" w:eastAsia="仿宋_GB2312" w:cs="仿宋_GB2312"/>
          <w:spacing w:val="0"/>
          <w:sz w:val="32"/>
          <w:szCs w:val="32"/>
        </w:rPr>
        <w:t>以上，其中，中心城市常住人口达到150万以上，城镇化率达到70％以上。</w:t>
      </w:r>
      <w:r>
        <w:rPr>
          <w:rFonts w:hint="eastAsia" w:ascii="仿宋_GB2312" w:hAnsi="仿宋_GB2312" w:eastAsia="仿宋_GB2312" w:cs="仿宋_GB2312"/>
          <w:color w:val="auto"/>
          <w:spacing w:val="0"/>
          <w:sz w:val="32"/>
          <w:szCs w:val="32"/>
        </w:rPr>
        <w:t>城市功能布局持续优化，产业和人口等经济要素加速集聚，城镇化率达到全省平均水平，</w:t>
      </w:r>
      <w:r>
        <w:rPr>
          <w:rFonts w:hint="eastAsia" w:ascii="仿宋_GB2312" w:hAnsi="仿宋_GB2312" w:eastAsia="仿宋_GB2312" w:cs="仿宋_GB2312"/>
          <w:color w:val="auto"/>
          <w:spacing w:val="0"/>
          <w:sz w:val="32"/>
          <w:szCs w:val="32"/>
          <w:lang w:eastAsia="zh-CN"/>
        </w:rPr>
        <w:t>现代化区域中心城市</w:t>
      </w:r>
      <w:r>
        <w:rPr>
          <w:rFonts w:hint="eastAsia" w:ascii="仿宋_GB2312" w:hAnsi="仿宋_GB2312" w:eastAsia="仿宋_GB2312" w:cs="仿宋_GB2312"/>
          <w:color w:val="auto"/>
          <w:spacing w:val="0"/>
          <w:sz w:val="32"/>
          <w:szCs w:val="32"/>
        </w:rPr>
        <w:t>建设取得重大进展，中心城区首位度显著提高，</w:t>
      </w:r>
      <w:r>
        <w:rPr>
          <w:rFonts w:hint="eastAsia" w:ascii="仿宋_GB2312" w:hAnsi="仿宋_GB2312" w:eastAsia="仿宋_GB2312" w:cs="仿宋_GB2312"/>
          <w:spacing w:val="0"/>
          <w:kern w:val="0"/>
          <w:sz w:val="32"/>
          <w:szCs w:val="32"/>
          <w:lang w:val="en-US" w:eastAsia="zh-CN" w:bidi="ar"/>
        </w:rPr>
        <w:t>在践行“两山”理论推进文旅融合上有新作为</w:t>
      </w:r>
      <w:r>
        <w:rPr>
          <w:rFonts w:hint="eastAsia" w:ascii="仿宋_GB2312" w:hAnsi="仿宋_GB2312" w:eastAsia="仿宋_GB2312" w:cs="仿宋_GB2312"/>
          <w:color w:val="auto"/>
          <w:spacing w:val="0"/>
          <w:sz w:val="32"/>
          <w:szCs w:val="32"/>
        </w:rPr>
        <w:t>，创新活力和能力大幅提升，枢纽经济优势进一步凸显，基本公共服务均等化水平明显提升，实现在全国同类型城市中提质进位。</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ind w:firstLine="648" w:firstLineChars="200"/>
        <w:jc w:val="left"/>
        <w:rPr>
          <w:rFonts w:hint="eastAsia" w:ascii="仿宋_GB2312" w:hAnsi="仿宋_GB2312" w:eastAsia="仿宋_GB2312" w:cs="仿宋_GB2312"/>
          <w:spacing w:val="0"/>
          <w:sz w:val="32"/>
          <w:szCs w:val="32"/>
        </w:rPr>
      </w:pPr>
      <w:r>
        <w:rPr>
          <w:rFonts w:hint="eastAsia" w:ascii="仿宋_GB2312" w:hAnsi="仿宋_GB2312" w:eastAsia="仿宋_GB2312" w:cs="仿宋_GB2312"/>
          <w:b/>
          <w:color w:val="auto"/>
          <w:spacing w:val="0"/>
          <w:sz w:val="32"/>
          <w:szCs w:val="32"/>
        </w:rPr>
        <w:t>2035 年中期发展目标：</w:t>
      </w:r>
      <w:r>
        <w:rPr>
          <w:rFonts w:hint="eastAsia" w:ascii="仿宋_GB2312" w:hAnsi="仿宋_GB2312" w:eastAsia="仿宋_GB2312" w:cs="仿宋_GB2312"/>
          <w:b w:val="0"/>
          <w:i w:val="0"/>
          <w:caps w:val="0"/>
          <w:color w:val="000000"/>
          <w:spacing w:val="0"/>
          <w:kern w:val="0"/>
          <w:sz w:val="32"/>
          <w:szCs w:val="32"/>
          <w:shd w:val="clear" w:fill="FFFFFF"/>
          <w:lang w:val="en-US" w:eastAsia="zh-CN" w:bidi="ar"/>
        </w:rPr>
        <w:t>到二〇三五年，基本实现在全国具有影响力的现代化区域中心城市建设目标。经济实力、综合实力大幅提升，发展质量和效益大幅提升，进入全省第一方阵，人均地区生产总值达到全国平均水平，基本实现新型工业化、信息化、城镇化，基本建成“国际农都”、“中国药谷”，率先实现农业农村现代化，建成现代化经济体系，科技创新能力、城乡融合发展水平实现质的跃升，建设全国具有影响力的经济强市。</w:t>
      </w:r>
    </w:p>
    <w:p>
      <w:pPr>
        <w:keepNext w:val="0"/>
        <w:keepLines w:val="0"/>
        <w:pageBreakBefore w:val="0"/>
        <w:kinsoku/>
        <w:wordWrap/>
        <w:overflowPunct/>
        <w:topLinePunct w:val="0"/>
        <w:autoSpaceDE/>
        <w:autoSpaceDN/>
        <w:bidi w:val="0"/>
        <w:adjustRightInd/>
        <w:snapToGrid/>
        <w:spacing w:beforeAutospacing="0" w:afterAutospacing="0" w:line="580" w:lineRule="exact"/>
        <w:ind w:left="0" w:right="0" w:firstLine="648" w:firstLineChars="200"/>
        <w:jc w:val="both"/>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b/>
          <w:color w:val="auto"/>
          <w:spacing w:val="0"/>
          <w:sz w:val="32"/>
          <w:szCs w:val="32"/>
        </w:rPr>
        <w:t>2050 年远期目标：</w:t>
      </w:r>
      <w:r>
        <w:rPr>
          <w:rFonts w:hint="eastAsia" w:ascii="仿宋_GB2312" w:hAnsi="仿宋_GB2312" w:eastAsia="仿宋_GB2312" w:cs="仿宋_GB2312"/>
          <w:color w:val="auto"/>
          <w:spacing w:val="0"/>
          <w:sz w:val="32"/>
          <w:szCs w:val="32"/>
        </w:rPr>
        <w:t>物质文明、政治文明、精神文明、社会文明、生态文明全面达到新高度，实现治理体系和治理能力现代化，碳中和取得重大进展，共同富裕基本实现，建成富强民主文明和谐美丽的社会主义现代化强市。</w:t>
      </w:r>
    </w:p>
    <w:p>
      <w:pPr>
        <w:pStyle w:val="2"/>
        <w:keepNext w:val="0"/>
        <w:keepLines w:val="0"/>
        <w:pageBreakBefore w:val="0"/>
        <w:kinsoku/>
        <w:wordWrap/>
        <w:overflowPunct/>
        <w:topLinePunct w:val="0"/>
        <w:autoSpaceDE/>
        <w:autoSpaceDN/>
        <w:bidi w:val="0"/>
        <w:adjustRightInd/>
        <w:snapToGrid/>
        <w:spacing w:afterAutospacing="0" w:line="580" w:lineRule="exact"/>
        <w:ind w:left="1" w:right="1"/>
        <w:jc w:val="center"/>
        <w:rPr>
          <w:rFonts w:hint="eastAsia" w:ascii="仿宋_GB2312" w:hAnsi="仿宋_GB2312" w:eastAsia="仿宋_GB2312" w:cs="仿宋_GB2312"/>
          <w:spacing w:val="0"/>
          <w:sz w:val="32"/>
          <w:szCs w:val="32"/>
        </w:rPr>
      </w:pPr>
    </w:p>
    <w:p>
      <w:pPr>
        <w:pStyle w:val="2"/>
        <w:keepNext w:val="0"/>
        <w:keepLines w:val="0"/>
        <w:pageBreakBefore w:val="0"/>
        <w:kinsoku/>
        <w:wordWrap/>
        <w:overflowPunct/>
        <w:topLinePunct w:val="0"/>
        <w:autoSpaceDE/>
        <w:autoSpaceDN/>
        <w:bidi w:val="0"/>
        <w:adjustRightInd/>
        <w:snapToGrid/>
        <w:spacing w:afterAutospacing="0" w:line="580" w:lineRule="exact"/>
        <w:ind w:left="1" w:right="1"/>
        <w:jc w:val="center"/>
        <w:rPr>
          <w:rFonts w:hint="eastAsia" w:ascii="仿宋_GB2312" w:hAnsi="仿宋_GB2312" w:eastAsia="仿宋_GB2312" w:cs="仿宋_GB2312"/>
          <w:spacing w:val="0"/>
          <w:sz w:val="32"/>
          <w:szCs w:val="32"/>
        </w:rPr>
      </w:pPr>
    </w:p>
    <w:p>
      <w:pPr>
        <w:pStyle w:val="2"/>
        <w:keepNext w:val="0"/>
        <w:keepLines w:val="0"/>
        <w:pageBreakBefore w:val="0"/>
        <w:kinsoku/>
        <w:wordWrap/>
        <w:overflowPunct/>
        <w:topLinePunct w:val="0"/>
        <w:autoSpaceDE/>
        <w:autoSpaceDN/>
        <w:bidi w:val="0"/>
        <w:adjustRightInd/>
        <w:snapToGrid/>
        <w:spacing w:afterAutospacing="0" w:line="580" w:lineRule="exact"/>
        <w:ind w:left="1" w:right="1"/>
        <w:jc w:val="center"/>
        <w:rPr>
          <w:rFonts w:hint="eastAsia" w:ascii="仿宋_GB2312" w:hAnsi="仿宋_GB2312" w:eastAsia="仿宋_GB2312" w:cs="仿宋_GB2312"/>
          <w:spacing w:val="0"/>
          <w:sz w:val="32"/>
          <w:szCs w:val="32"/>
        </w:rPr>
      </w:pPr>
    </w:p>
    <w:p>
      <w:pPr>
        <w:pStyle w:val="2"/>
        <w:keepNext w:val="0"/>
        <w:keepLines w:val="0"/>
        <w:pageBreakBefore w:val="0"/>
        <w:kinsoku/>
        <w:wordWrap/>
        <w:overflowPunct/>
        <w:topLinePunct w:val="0"/>
        <w:autoSpaceDE/>
        <w:autoSpaceDN/>
        <w:bidi w:val="0"/>
        <w:adjustRightInd/>
        <w:snapToGrid/>
        <w:spacing w:afterAutospacing="0" w:line="580" w:lineRule="exact"/>
        <w:ind w:left="1" w:right="1"/>
        <w:jc w:val="center"/>
        <w:rPr>
          <w:rFonts w:hint="eastAsia" w:ascii="仿宋_GB2312" w:hAnsi="仿宋_GB2312" w:eastAsia="仿宋_GB2312" w:cs="仿宋_GB2312"/>
          <w:spacing w:val="0"/>
          <w:sz w:val="32"/>
          <w:szCs w:val="32"/>
        </w:rPr>
      </w:pPr>
    </w:p>
    <w:p>
      <w:pPr>
        <w:pStyle w:val="2"/>
        <w:keepNext w:val="0"/>
        <w:keepLines w:val="0"/>
        <w:pageBreakBefore w:val="0"/>
        <w:kinsoku/>
        <w:wordWrap/>
        <w:overflowPunct/>
        <w:topLinePunct w:val="0"/>
        <w:autoSpaceDE/>
        <w:autoSpaceDN/>
        <w:bidi w:val="0"/>
        <w:adjustRightInd/>
        <w:snapToGrid/>
        <w:spacing w:afterAutospacing="0" w:line="580" w:lineRule="exact"/>
        <w:ind w:left="1" w:right="1"/>
        <w:jc w:val="center"/>
        <w:rPr>
          <w:rFonts w:hint="eastAsia" w:ascii="仿宋_GB2312" w:hAnsi="仿宋_GB2312" w:eastAsia="仿宋_GB2312" w:cs="仿宋_GB2312"/>
          <w:spacing w:val="0"/>
          <w:sz w:val="32"/>
          <w:szCs w:val="32"/>
        </w:rPr>
      </w:pPr>
    </w:p>
    <w:p>
      <w:pPr>
        <w:pStyle w:val="2"/>
        <w:keepNext w:val="0"/>
        <w:keepLines w:val="0"/>
        <w:pageBreakBefore w:val="0"/>
        <w:kinsoku/>
        <w:wordWrap/>
        <w:overflowPunct/>
        <w:topLinePunct w:val="0"/>
        <w:autoSpaceDE/>
        <w:autoSpaceDN/>
        <w:bidi w:val="0"/>
        <w:adjustRightInd/>
        <w:snapToGrid/>
        <w:spacing w:afterAutospacing="0" w:line="580" w:lineRule="exact"/>
        <w:ind w:left="1" w:right="1"/>
        <w:jc w:val="center"/>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rPr>
        <w:t>表：主要预期指标</w:t>
      </w:r>
    </w:p>
    <w:tbl>
      <w:tblPr>
        <w:tblStyle w:val="7"/>
        <w:tblpPr w:leftFromText="180" w:rightFromText="180" w:vertAnchor="text" w:horzAnchor="page" w:tblpX="1236" w:tblpY="354"/>
        <w:tblOverlap w:val="never"/>
        <w:tblW w:w="91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0"/>
        <w:gridCol w:w="2400"/>
        <w:gridCol w:w="810"/>
        <w:gridCol w:w="1047"/>
        <w:gridCol w:w="1286"/>
        <w:gridCol w:w="1657"/>
        <w:gridCol w:w="1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2930" w:type="dxa"/>
            <w:gridSpan w:val="2"/>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0" w:leftChars="0" w:right="1028" w:firstLine="0" w:firstLineChars="0"/>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lang w:eastAsia="zh-CN"/>
              </w:rPr>
              <w:t>指</w:t>
            </w:r>
            <w:r>
              <w:rPr>
                <w:rFonts w:hint="eastAsia" w:ascii="仿宋_GB2312" w:hAnsi="仿宋_GB2312" w:eastAsia="仿宋_GB2312" w:cs="仿宋_GB2312"/>
                <w:spacing w:val="0"/>
                <w:sz w:val="30"/>
                <w:szCs w:val="30"/>
              </w:rPr>
              <w:t>标</w:t>
            </w:r>
          </w:p>
        </w:tc>
        <w:tc>
          <w:tcPr>
            <w:tcW w:w="81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0" w:right="176"/>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单位</w:t>
            </w:r>
          </w:p>
        </w:tc>
        <w:tc>
          <w:tcPr>
            <w:tcW w:w="1047"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15" w:right="108"/>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202</w:t>
            </w:r>
            <w:r>
              <w:rPr>
                <w:rFonts w:hint="eastAsia" w:ascii="仿宋_GB2312" w:hAnsi="仿宋_GB2312" w:eastAsia="仿宋_GB2312" w:cs="仿宋_GB2312"/>
                <w:spacing w:val="0"/>
                <w:sz w:val="30"/>
                <w:szCs w:val="30"/>
                <w:lang w:val="en-US" w:eastAsia="zh-CN"/>
              </w:rPr>
              <w:t>2</w:t>
            </w:r>
            <w:r>
              <w:rPr>
                <w:rFonts w:hint="eastAsia" w:ascii="仿宋_GB2312" w:hAnsi="仿宋_GB2312" w:eastAsia="仿宋_GB2312" w:cs="仿宋_GB2312"/>
                <w:spacing w:val="0"/>
                <w:sz w:val="30"/>
                <w:szCs w:val="30"/>
              </w:rPr>
              <w:t>年基数</w:t>
            </w:r>
          </w:p>
        </w:tc>
        <w:tc>
          <w:tcPr>
            <w:tcW w:w="1286"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32" w:right="124"/>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2025年</w:t>
            </w:r>
          </w:p>
          <w:p>
            <w:pPr>
              <w:pStyle w:val="11"/>
              <w:keepNext w:val="0"/>
              <w:keepLines w:val="0"/>
              <w:pageBreakBefore w:val="0"/>
              <w:kinsoku/>
              <w:wordWrap/>
              <w:overflowPunct/>
              <w:topLinePunct w:val="0"/>
              <w:autoSpaceDE/>
              <w:autoSpaceDN/>
              <w:bidi w:val="0"/>
              <w:adjustRightInd/>
              <w:snapToGrid/>
              <w:spacing w:afterAutospacing="0" w:line="580" w:lineRule="exact"/>
              <w:ind w:left="132" w:right="124"/>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目标</w:t>
            </w:r>
          </w:p>
        </w:tc>
        <w:tc>
          <w:tcPr>
            <w:tcW w:w="1657"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231" w:right="224"/>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2035年目标</w:t>
            </w:r>
          </w:p>
        </w:tc>
        <w:tc>
          <w:tcPr>
            <w:tcW w:w="141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231" w:right="224"/>
              <w:jc w:val="center"/>
              <w:rPr>
                <w:rFonts w:hint="eastAsia" w:ascii="仿宋_GB2312" w:hAnsi="仿宋_GB2312" w:eastAsia="仿宋_GB2312" w:cs="仿宋_GB2312"/>
                <w:spacing w:val="0"/>
                <w:sz w:val="30"/>
                <w:szCs w:val="30"/>
                <w:lang w:eastAsia="zh-CN"/>
              </w:rPr>
            </w:pPr>
            <w:r>
              <w:rPr>
                <w:rFonts w:hint="eastAsia" w:ascii="仿宋_GB2312" w:hAnsi="仿宋_GB2312" w:eastAsia="仿宋_GB2312" w:cs="仿宋_GB2312"/>
                <w:spacing w:val="0"/>
                <w:sz w:val="30"/>
                <w:szCs w:val="30"/>
                <w:lang w:eastAsia="zh-CN"/>
              </w:rPr>
              <w:t>指标</w:t>
            </w:r>
          </w:p>
          <w:p>
            <w:pPr>
              <w:pStyle w:val="11"/>
              <w:keepNext w:val="0"/>
              <w:keepLines w:val="0"/>
              <w:pageBreakBefore w:val="0"/>
              <w:kinsoku/>
              <w:wordWrap/>
              <w:overflowPunct/>
              <w:topLinePunct w:val="0"/>
              <w:autoSpaceDE/>
              <w:autoSpaceDN/>
              <w:bidi w:val="0"/>
              <w:adjustRightInd/>
              <w:snapToGrid/>
              <w:spacing w:afterAutospacing="0" w:line="580" w:lineRule="exact"/>
              <w:ind w:left="231" w:right="224"/>
              <w:jc w:val="center"/>
              <w:rPr>
                <w:rFonts w:hint="eastAsia" w:ascii="仿宋_GB2312" w:hAnsi="仿宋_GB2312" w:eastAsia="仿宋_GB2312" w:cs="仿宋_GB2312"/>
                <w:spacing w:val="0"/>
                <w:sz w:val="30"/>
                <w:szCs w:val="30"/>
                <w:lang w:eastAsia="zh-CN"/>
              </w:rPr>
            </w:pPr>
            <w:r>
              <w:rPr>
                <w:rFonts w:hint="eastAsia" w:ascii="仿宋_GB2312" w:hAnsi="仿宋_GB2312" w:eastAsia="仿宋_GB2312" w:cs="仿宋_GB2312"/>
                <w:spacing w:val="0"/>
                <w:sz w:val="30"/>
                <w:szCs w:val="30"/>
                <w:lang w:eastAsia="zh-CN"/>
              </w:rPr>
              <w:t>属性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9140" w:type="dxa"/>
            <w:gridSpan w:val="7"/>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07"/>
              <w:jc w:val="both"/>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一、综合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3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8"/>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w w:val="100"/>
                <w:sz w:val="30"/>
                <w:szCs w:val="30"/>
              </w:rPr>
              <w:t>1</w:t>
            </w:r>
          </w:p>
        </w:tc>
        <w:tc>
          <w:tcPr>
            <w:tcW w:w="240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0"/>
                <w:szCs w:val="30"/>
                <w:lang w:eastAsia="zh-CN"/>
              </w:rPr>
            </w:pPr>
            <w:r>
              <w:rPr>
                <w:rFonts w:hint="eastAsia" w:ascii="仿宋_GB2312" w:hAnsi="仿宋_GB2312" w:eastAsia="仿宋_GB2312" w:cs="仿宋_GB2312"/>
                <w:spacing w:val="0"/>
                <w:sz w:val="30"/>
                <w:szCs w:val="30"/>
                <w:lang w:val="en-US"/>
              </w:rPr>
              <w:t>国民</w:t>
            </w:r>
            <w:r>
              <w:rPr>
                <w:rFonts w:hint="eastAsia" w:ascii="仿宋_GB2312" w:hAnsi="仿宋_GB2312" w:eastAsia="仿宋_GB2312" w:cs="仿宋_GB2312"/>
                <w:spacing w:val="0"/>
                <w:sz w:val="30"/>
                <w:szCs w:val="30"/>
              </w:rPr>
              <w:t>生产总值</w:t>
            </w:r>
            <w:r>
              <w:rPr>
                <w:rFonts w:hint="eastAsia" w:ascii="仿宋_GB2312" w:hAnsi="仿宋_GB2312" w:eastAsia="仿宋_GB2312" w:cs="仿宋_GB2312"/>
                <w:spacing w:val="0"/>
                <w:sz w:val="30"/>
                <w:szCs w:val="30"/>
                <w:lang w:eastAsia="zh-CN"/>
              </w:rPr>
              <w:t>增长率</w:t>
            </w:r>
          </w:p>
        </w:tc>
        <w:tc>
          <w:tcPr>
            <w:tcW w:w="81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0" w:right="176"/>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lang w:val="en-US" w:eastAsia="zh-CN"/>
              </w:rPr>
              <w:t>%</w:t>
            </w:r>
          </w:p>
        </w:tc>
        <w:tc>
          <w:tcPr>
            <w:tcW w:w="1047"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15" w:right="104"/>
              <w:jc w:val="center"/>
              <w:rPr>
                <w:rFonts w:hint="eastAsia" w:ascii="仿宋_GB2312" w:hAnsi="仿宋_GB2312" w:eastAsia="仿宋_GB2312" w:cs="仿宋_GB2312"/>
                <w:spacing w:val="0"/>
                <w:sz w:val="30"/>
                <w:szCs w:val="30"/>
                <w:lang w:val="en-US" w:eastAsia="zh-CN"/>
              </w:rPr>
            </w:pPr>
            <w:r>
              <w:rPr>
                <w:rFonts w:hint="eastAsia" w:ascii="仿宋_GB2312" w:hAnsi="仿宋_GB2312" w:eastAsia="仿宋_GB2312" w:cs="仿宋_GB2312"/>
                <w:spacing w:val="0"/>
                <w:sz w:val="30"/>
                <w:szCs w:val="30"/>
                <w:lang w:val="en-US" w:eastAsia="zh-CN"/>
              </w:rPr>
              <w:t>5.2</w:t>
            </w:r>
          </w:p>
        </w:tc>
        <w:tc>
          <w:tcPr>
            <w:tcW w:w="1286"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9"/>
              <w:jc w:val="center"/>
              <w:rPr>
                <w:rFonts w:hint="eastAsia" w:ascii="仿宋_GB2312" w:hAnsi="仿宋_GB2312" w:eastAsia="仿宋_GB2312" w:cs="仿宋_GB2312"/>
                <w:spacing w:val="0"/>
                <w:sz w:val="30"/>
                <w:szCs w:val="30"/>
                <w:lang w:val="en-US" w:eastAsia="zh-CN"/>
              </w:rPr>
            </w:pPr>
            <w:r>
              <w:rPr>
                <w:rFonts w:hint="eastAsia" w:ascii="仿宋_GB2312" w:hAnsi="仿宋_GB2312" w:eastAsia="仿宋_GB2312" w:cs="仿宋_GB2312"/>
                <w:spacing w:val="0"/>
                <w:sz w:val="30"/>
                <w:szCs w:val="30"/>
                <w:lang w:val="en-US" w:eastAsia="zh-CN"/>
              </w:rPr>
              <w:t>7</w:t>
            </w:r>
          </w:p>
        </w:tc>
        <w:tc>
          <w:tcPr>
            <w:tcW w:w="1657"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231" w:right="220"/>
              <w:jc w:val="center"/>
              <w:rPr>
                <w:rFonts w:hint="eastAsia" w:ascii="仿宋_GB2312" w:hAnsi="仿宋_GB2312" w:eastAsia="仿宋_GB2312" w:cs="仿宋_GB2312"/>
                <w:spacing w:val="0"/>
                <w:sz w:val="30"/>
                <w:szCs w:val="30"/>
                <w:lang w:val="en-US" w:eastAsia="zh-CN"/>
              </w:rPr>
            </w:pPr>
            <w:r>
              <w:rPr>
                <w:rFonts w:hint="eastAsia" w:ascii="仿宋_GB2312" w:hAnsi="仿宋_GB2312" w:eastAsia="仿宋_GB2312" w:cs="仿宋_GB2312"/>
                <w:spacing w:val="0"/>
                <w:sz w:val="30"/>
                <w:szCs w:val="30"/>
                <w:lang w:val="en-US" w:eastAsia="zh-CN"/>
              </w:rPr>
              <w:t>高于全省平均水平</w:t>
            </w:r>
          </w:p>
        </w:tc>
        <w:tc>
          <w:tcPr>
            <w:tcW w:w="141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231" w:right="220"/>
              <w:jc w:val="center"/>
              <w:rPr>
                <w:rFonts w:hint="eastAsia" w:ascii="仿宋_GB2312" w:hAnsi="仿宋_GB2312" w:eastAsia="仿宋_GB2312" w:cs="仿宋_GB2312"/>
                <w:spacing w:val="0"/>
                <w:sz w:val="30"/>
                <w:szCs w:val="30"/>
                <w:lang w:eastAsia="zh-CN"/>
              </w:rPr>
            </w:pPr>
            <w:r>
              <w:rPr>
                <w:rFonts w:hint="eastAsia" w:ascii="仿宋_GB2312" w:hAnsi="仿宋_GB2312" w:eastAsia="仿宋_GB2312" w:cs="仿宋_GB2312"/>
                <w:spacing w:val="0"/>
                <w:sz w:val="30"/>
                <w:szCs w:val="30"/>
                <w:lang w:eastAsia="zh-CN"/>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53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8"/>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w w:val="100"/>
                <w:sz w:val="30"/>
                <w:szCs w:val="30"/>
              </w:rPr>
              <w:t>2</w:t>
            </w:r>
          </w:p>
        </w:tc>
        <w:tc>
          <w:tcPr>
            <w:tcW w:w="240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中心城区常住人口</w:t>
            </w:r>
          </w:p>
        </w:tc>
        <w:tc>
          <w:tcPr>
            <w:tcW w:w="81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0" w:right="176"/>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万人</w:t>
            </w:r>
          </w:p>
        </w:tc>
        <w:tc>
          <w:tcPr>
            <w:tcW w:w="1047"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15" w:right="107"/>
              <w:jc w:val="center"/>
              <w:rPr>
                <w:rFonts w:hint="eastAsia" w:ascii="仿宋_GB2312" w:hAnsi="仿宋_GB2312" w:eastAsia="仿宋_GB2312" w:cs="仿宋_GB2312"/>
                <w:spacing w:val="0"/>
                <w:sz w:val="30"/>
                <w:szCs w:val="30"/>
                <w:lang w:val="en-US" w:eastAsia="zh-CN"/>
              </w:rPr>
            </w:pPr>
            <w:r>
              <w:rPr>
                <w:rFonts w:hint="eastAsia" w:ascii="仿宋_GB2312" w:hAnsi="仿宋_GB2312" w:eastAsia="仿宋_GB2312" w:cs="仿宋_GB2312"/>
                <w:spacing w:val="0"/>
                <w:sz w:val="30"/>
                <w:szCs w:val="30"/>
                <w:lang w:val="en-US" w:eastAsia="zh-CN"/>
              </w:rPr>
              <w:t>100</w:t>
            </w:r>
          </w:p>
        </w:tc>
        <w:tc>
          <w:tcPr>
            <w:tcW w:w="1286"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32" w:right="121"/>
              <w:jc w:val="center"/>
              <w:rPr>
                <w:rFonts w:hint="eastAsia" w:ascii="仿宋_GB2312" w:hAnsi="仿宋_GB2312" w:eastAsia="仿宋_GB2312" w:cs="仿宋_GB2312"/>
                <w:spacing w:val="0"/>
                <w:sz w:val="30"/>
                <w:szCs w:val="30"/>
                <w:lang w:val="en-US" w:eastAsia="zh-CN"/>
              </w:rPr>
            </w:pPr>
            <w:r>
              <w:rPr>
                <w:rFonts w:hint="eastAsia" w:ascii="仿宋_GB2312" w:hAnsi="仿宋_GB2312" w:eastAsia="仿宋_GB2312" w:cs="仿宋_GB2312"/>
                <w:spacing w:val="0"/>
                <w:sz w:val="30"/>
                <w:szCs w:val="30"/>
                <w:lang w:val="en-US" w:eastAsia="zh-CN"/>
              </w:rPr>
              <w:t>120</w:t>
            </w:r>
          </w:p>
        </w:tc>
        <w:tc>
          <w:tcPr>
            <w:tcW w:w="1657"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231" w:right="220"/>
              <w:jc w:val="center"/>
              <w:rPr>
                <w:rFonts w:hint="eastAsia" w:ascii="仿宋_GB2312" w:hAnsi="仿宋_GB2312" w:eastAsia="仿宋_GB2312" w:cs="仿宋_GB2312"/>
                <w:spacing w:val="0"/>
                <w:sz w:val="30"/>
                <w:szCs w:val="30"/>
                <w:lang w:val="en-US" w:eastAsia="zh-CN"/>
              </w:rPr>
            </w:pPr>
            <w:r>
              <w:rPr>
                <w:rFonts w:hint="eastAsia" w:ascii="仿宋_GB2312" w:hAnsi="仿宋_GB2312" w:eastAsia="仿宋_GB2312" w:cs="仿宋_GB2312"/>
                <w:spacing w:val="0"/>
                <w:sz w:val="30"/>
                <w:szCs w:val="30"/>
                <w:lang w:val="en-US" w:eastAsia="zh-CN"/>
              </w:rPr>
              <w:t>200</w:t>
            </w:r>
          </w:p>
        </w:tc>
        <w:tc>
          <w:tcPr>
            <w:tcW w:w="141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231" w:right="220"/>
              <w:jc w:val="center"/>
              <w:rPr>
                <w:rFonts w:hint="eastAsia" w:ascii="仿宋_GB2312" w:hAnsi="仿宋_GB2312" w:eastAsia="仿宋_GB2312" w:cs="仿宋_GB2312"/>
                <w:spacing w:val="0"/>
                <w:sz w:val="30"/>
                <w:szCs w:val="30"/>
                <w:lang w:eastAsia="zh-CN"/>
              </w:rPr>
            </w:pPr>
            <w:r>
              <w:rPr>
                <w:rFonts w:hint="eastAsia" w:ascii="仿宋_GB2312" w:hAnsi="仿宋_GB2312" w:eastAsia="仿宋_GB2312" w:cs="仿宋_GB2312"/>
                <w:spacing w:val="0"/>
                <w:sz w:val="30"/>
                <w:szCs w:val="30"/>
                <w:lang w:eastAsia="zh-CN"/>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2" w:hRule="atLeast"/>
        </w:trPr>
        <w:tc>
          <w:tcPr>
            <w:tcW w:w="530" w:type="dxa"/>
            <w:noWrap w:val="0"/>
            <w:vAlign w:val="center"/>
          </w:tcPr>
          <w:p>
            <w:pPr>
              <w:pStyle w:val="11"/>
              <w:keepNext w:val="0"/>
              <w:keepLines w:val="0"/>
              <w:pageBreakBefore w:val="0"/>
              <w:kinsoku/>
              <w:wordWrap/>
              <w:overflowPunct/>
              <w:topLinePunct w:val="0"/>
              <w:autoSpaceDE/>
              <w:autoSpaceDN/>
              <w:bidi w:val="0"/>
              <w:adjustRightInd/>
              <w:snapToGrid/>
              <w:spacing w:before="154" w:afterAutospacing="0" w:line="580" w:lineRule="exact"/>
              <w:ind w:left="8"/>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w w:val="100"/>
                <w:sz w:val="30"/>
                <w:szCs w:val="30"/>
              </w:rPr>
              <w:t>3</w:t>
            </w:r>
          </w:p>
        </w:tc>
        <w:tc>
          <w:tcPr>
            <w:tcW w:w="240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0"/>
                <w:szCs w:val="30"/>
                <w:lang w:val="en-US"/>
              </w:rPr>
            </w:pPr>
            <w:r>
              <w:rPr>
                <w:rFonts w:hint="eastAsia" w:ascii="仿宋_GB2312" w:hAnsi="仿宋_GB2312" w:eastAsia="仿宋_GB2312" w:cs="仿宋_GB2312"/>
                <w:spacing w:val="0"/>
                <w:sz w:val="30"/>
                <w:szCs w:val="30"/>
                <w:lang w:val="en-US" w:eastAsia="zh-CN"/>
              </w:rPr>
              <w:t>规模以上工业增加值增速</w:t>
            </w:r>
          </w:p>
        </w:tc>
        <w:tc>
          <w:tcPr>
            <w:tcW w:w="810" w:type="dxa"/>
            <w:noWrap w:val="0"/>
            <w:vAlign w:val="center"/>
          </w:tcPr>
          <w:p>
            <w:pPr>
              <w:pStyle w:val="11"/>
              <w:keepNext w:val="0"/>
              <w:keepLines w:val="0"/>
              <w:pageBreakBefore w:val="0"/>
              <w:kinsoku/>
              <w:wordWrap/>
              <w:overflowPunct/>
              <w:topLinePunct w:val="0"/>
              <w:autoSpaceDE/>
              <w:autoSpaceDN/>
              <w:bidi w:val="0"/>
              <w:adjustRightInd/>
              <w:snapToGrid/>
              <w:spacing w:before="154" w:afterAutospacing="0" w:line="580" w:lineRule="exact"/>
              <w:ind w:left="7"/>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w w:val="100"/>
                <w:sz w:val="30"/>
                <w:szCs w:val="30"/>
              </w:rPr>
              <w:t>%</w:t>
            </w:r>
          </w:p>
        </w:tc>
        <w:tc>
          <w:tcPr>
            <w:tcW w:w="1047" w:type="dxa"/>
            <w:noWrap w:val="0"/>
            <w:vAlign w:val="center"/>
          </w:tcPr>
          <w:p>
            <w:pPr>
              <w:pStyle w:val="11"/>
              <w:keepNext w:val="0"/>
              <w:keepLines w:val="0"/>
              <w:pageBreakBefore w:val="0"/>
              <w:kinsoku/>
              <w:wordWrap/>
              <w:overflowPunct/>
              <w:topLinePunct w:val="0"/>
              <w:autoSpaceDE/>
              <w:autoSpaceDN/>
              <w:bidi w:val="0"/>
              <w:adjustRightInd/>
              <w:snapToGrid/>
              <w:spacing w:before="154" w:afterAutospacing="0" w:line="580" w:lineRule="exact"/>
              <w:ind w:left="115" w:right="104"/>
              <w:jc w:val="center"/>
              <w:rPr>
                <w:rFonts w:hint="eastAsia" w:ascii="仿宋_GB2312" w:hAnsi="仿宋_GB2312" w:eastAsia="仿宋_GB2312" w:cs="仿宋_GB2312"/>
                <w:spacing w:val="0"/>
                <w:sz w:val="30"/>
                <w:szCs w:val="30"/>
                <w:highlight w:val="none"/>
                <w:lang w:val="en-US" w:eastAsia="zh-CN"/>
              </w:rPr>
            </w:pPr>
            <w:r>
              <w:rPr>
                <w:rFonts w:hint="eastAsia" w:ascii="仿宋_GB2312" w:hAnsi="仿宋_GB2312" w:eastAsia="仿宋_GB2312" w:cs="仿宋_GB2312"/>
                <w:spacing w:val="0"/>
                <w:sz w:val="30"/>
                <w:szCs w:val="30"/>
                <w:highlight w:val="none"/>
                <w:lang w:val="en-US" w:eastAsia="zh-CN"/>
              </w:rPr>
              <w:t>6</w:t>
            </w:r>
          </w:p>
        </w:tc>
        <w:tc>
          <w:tcPr>
            <w:tcW w:w="1286" w:type="dxa"/>
            <w:noWrap w:val="0"/>
            <w:vAlign w:val="center"/>
          </w:tcPr>
          <w:p>
            <w:pPr>
              <w:pStyle w:val="11"/>
              <w:keepNext w:val="0"/>
              <w:keepLines w:val="0"/>
              <w:pageBreakBefore w:val="0"/>
              <w:kinsoku/>
              <w:wordWrap/>
              <w:overflowPunct/>
              <w:topLinePunct w:val="0"/>
              <w:autoSpaceDE/>
              <w:autoSpaceDN/>
              <w:bidi w:val="0"/>
              <w:adjustRightInd/>
              <w:snapToGrid/>
              <w:spacing w:before="154" w:afterAutospacing="0" w:line="580" w:lineRule="exact"/>
              <w:ind w:left="132" w:right="121"/>
              <w:jc w:val="center"/>
              <w:rPr>
                <w:rFonts w:hint="eastAsia" w:ascii="仿宋_GB2312" w:hAnsi="仿宋_GB2312" w:eastAsia="仿宋_GB2312" w:cs="仿宋_GB2312"/>
                <w:spacing w:val="0"/>
                <w:sz w:val="30"/>
                <w:szCs w:val="30"/>
                <w:highlight w:val="none"/>
                <w:lang w:val="en-US" w:eastAsia="zh-CN"/>
              </w:rPr>
            </w:pPr>
            <w:r>
              <w:rPr>
                <w:rFonts w:hint="eastAsia" w:ascii="仿宋_GB2312" w:hAnsi="仿宋_GB2312" w:eastAsia="仿宋_GB2312" w:cs="仿宋_GB2312"/>
                <w:spacing w:val="0"/>
                <w:sz w:val="30"/>
                <w:szCs w:val="30"/>
                <w:highlight w:val="none"/>
                <w:lang w:val="en-US" w:eastAsia="zh-CN"/>
              </w:rPr>
              <w:t>6.5</w:t>
            </w:r>
          </w:p>
        </w:tc>
        <w:tc>
          <w:tcPr>
            <w:tcW w:w="1657" w:type="dxa"/>
            <w:noWrap w:val="0"/>
            <w:vAlign w:val="center"/>
          </w:tcPr>
          <w:p>
            <w:pPr>
              <w:pStyle w:val="11"/>
              <w:keepNext w:val="0"/>
              <w:keepLines w:val="0"/>
              <w:pageBreakBefore w:val="0"/>
              <w:kinsoku/>
              <w:wordWrap/>
              <w:overflowPunct/>
              <w:topLinePunct w:val="0"/>
              <w:autoSpaceDE/>
              <w:autoSpaceDN/>
              <w:bidi w:val="0"/>
              <w:adjustRightInd/>
              <w:snapToGrid/>
              <w:spacing w:before="154" w:afterAutospacing="0" w:line="580" w:lineRule="exact"/>
              <w:ind w:left="231" w:right="220"/>
              <w:jc w:val="center"/>
              <w:rPr>
                <w:rFonts w:hint="eastAsia" w:ascii="仿宋_GB2312" w:hAnsi="仿宋_GB2312" w:eastAsia="仿宋_GB2312" w:cs="仿宋_GB2312"/>
                <w:spacing w:val="0"/>
                <w:sz w:val="30"/>
                <w:szCs w:val="30"/>
                <w:highlight w:val="none"/>
                <w:lang w:val="en-US" w:eastAsia="zh-CN"/>
              </w:rPr>
            </w:pPr>
            <w:r>
              <w:rPr>
                <w:rFonts w:hint="eastAsia" w:ascii="仿宋_GB2312" w:hAnsi="仿宋_GB2312" w:eastAsia="仿宋_GB2312" w:cs="仿宋_GB2312"/>
                <w:spacing w:val="0"/>
                <w:sz w:val="30"/>
                <w:szCs w:val="30"/>
                <w:highlight w:val="none"/>
                <w:lang w:val="en-US" w:eastAsia="zh-CN"/>
              </w:rPr>
              <w:t>高于全省平均水平</w:t>
            </w:r>
          </w:p>
        </w:tc>
        <w:tc>
          <w:tcPr>
            <w:tcW w:w="1410" w:type="dxa"/>
            <w:noWrap w:val="0"/>
            <w:vAlign w:val="center"/>
          </w:tcPr>
          <w:p>
            <w:pPr>
              <w:pStyle w:val="11"/>
              <w:keepNext w:val="0"/>
              <w:keepLines w:val="0"/>
              <w:pageBreakBefore w:val="0"/>
              <w:kinsoku/>
              <w:wordWrap/>
              <w:overflowPunct/>
              <w:topLinePunct w:val="0"/>
              <w:autoSpaceDE/>
              <w:autoSpaceDN/>
              <w:bidi w:val="0"/>
              <w:adjustRightInd/>
              <w:snapToGrid/>
              <w:spacing w:before="154" w:afterAutospacing="0" w:line="580" w:lineRule="exact"/>
              <w:ind w:left="231" w:right="220"/>
              <w:jc w:val="center"/>
              <w:rPr>
                <w:rFonts w:hint="eastAsia" w:ascii="仿宋_GB2312" w:hAnsi="仿宋_GB2312" w:eastAsia="仿宋_GB2312" w:cs="仿宋_GB2312"/>
                <w:spacing w:val="0"/>
                <w:sz w:val="30"/>
                <w:szCs w:val="30"/>
                <w:lang w:eastAsia="zh-CN"/>
              </w:rPr>
            </w:pPr>
            <w:r>
              <w:rPr>
                <w:rFonts w:hint="eastAsia" w:ascii="仿宋_GB2312" w:hAnsi="仿宋_GB2312" w:eastAsia="仿宋_GB2312" w:cs="仿宋_GB2312"/>
                <w:spacing w:val="0"/>
                <w:sz w:val="30"/>
                <w:szCs w:val="30"/>
                <w:lang w:eastAsia="zh-CN"/>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53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8"/>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w w:val="100"/>
                <w:sz w:val="30"/>
                <w:szCs w:val="30"/>
              </w:rPr>
              <w:t>4</w:t>
            </w:r>
          </w:p>
        </w:tc>
        <w:tc>
          <w:tcPr>
            <w:tcW w:w="240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0"/>
                <w:szCs w:val="30"/>
                <w:lang w:eastAsia="zh-CN"/>
              </w:rPr>
            </w:pPr>
            <w:r>
              <w:rPr>
                <w:rFonts w:hint="eastAsia" w:ascii="仿宋_GB2312" w:hAnsi="仿宋_GB2312" w:eastAsia="仿宋_GB2312" w:cs="仿宋_GB2312"/>
                <w:spacing w:val="0"/>
                <w:sz w:val="30"/>
                <w:szCs w:val="30"/>
              </w:rPr>
              <w:t>文化产业增加值</w:t>
            </w:r>
            <w:r>
              <w:rPr>
                <w:rFonts w:hint="eastAsia" w:ascii="仿宋_GB2312" w:hAnsi="仿宋_GB2312" w:eastAsia="仿宋_GB2312" w:cs="仿宋_GB2312"/>
                <w:spacing w:val="0"/>
                <w:sz w:val="30"/>
                <w:szCs w:val="30"/>
                <w:lang w:eastAsia="zh-CN"/>
              </w:rPr>
              <w:t>占比</w:t>
            </w:r>
          </w:p>
        </w:tc>
        <w:tc>
          <w:tcPr>
            <w:tcW w:w="81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0" w:right="176"/>
              <w:jc w:val="center"/>
              <w:rPr>
                <w:rFonts w:hint="eastAsia" w:ascii="仿宋_GB2312" w:hAnsi="仿宋_GB2312" w:eastAsia="仿宋_GB2312" w:cs="仿宋_GB2312"/>
                <w:spacing w:val="0"/>
                <w:sz w:val="30"/>
                <w:szCs w:val="30"/>
                <w:lang w:eastAsia="zh-CN"/>
              </w:rPr>
            </w:pPr>
            <w:r>
              <w:rPr>
                <w:rFonts w:hint="eastAsia" w:ascii="仿宋_GB2312" w:hAnsi="仿宋_GB2312" w:eastAsia="仿宋_GB2312" w:cs="仿宋_GB2312"/>
                <w:spacing w:val="0"/>
                <w:sz w:val="30"/>
                <w:szCs w:val="30"/>
                <w:lang w:val="en-US" w:eastAsia="zh-CN"/>
              </w:rPr>
              <w:t>%</w:t>
            </w:r>
          </w:p>
        </w:tc>
        <w:tc>
          <w:tcPr>
            <w:tcW w:w="1047"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15" w:right="105"/>
              <w:jc w:val="center"/>
              <w:rPr>
                <w:rFonts w:hint="eastAsia" w:ascii="仿宋_GB2312" w:hAnsi="仿宋_GB2312" w:eastAsia="仿宋_GB2312" w:cs="仿宋_GB2312"/>
                <w:spacing w:val="0"/>
                <w:sz w:val="30"/>
                <w:szCs w:val="30"/>
                <w:lang w:val="en-US" w:eastAsia="zh-CN"/>
              </w:rPr>
            </w:pPr>
            <w:r>
              <w:rPr>
                <w:rFonts w:hint="eastAsia" w:ascii="仿宋_GB2312" w:hAnsi="仿宋_GB2312" w:eastAsia="仿宋_GB2312" w:cs="仿宋_GB2312"/>
                <w:spacing w:val="0"/>
                <w:sz w:val="30"/>
                <w:szCs w:val="30"/>
                <w:lang w:val="en-US" w:eastAsia="zh-CN"/>
              </w:rPr>
              <w:t>-</w:t>
            </w:r>
          </w:p>
        </w:tc>
        <w:tc>
          <w:tcPr>
            <w:tcW w:w="1286"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32" w:right="121"/>
              <w:jc w:val="center"/>
              <w:rPr>
                <w:rFonts w:hint="eastAsia" w:ascii="仿宋_GB2312" w:hAnsi="仿宋_GB2312" w:eastAsia="仿宋_GB2312" w:cs="仿宋_GB2312"/>
                <w:spacing w:val="0"/>
                <w:sz w:val="30"/>
                <w:szCs w:val="30"/>
                <w:lang w:val="en-US" w:eastAsia="zh-CN"/>
              </w:rPr>
            </w:pPr>
            <w:r>
              <w:rPr>
                <w:rFonts w:hint="eastAsia" w:ascii="仿宋_GB2312" w:hAnsi="仿宋_GB2312" w:eastAsia="仿宋_GB2312" w:cs="仿宋_GB2312"/>
                <w:spacing w:val="0"/>
                <w:sz w:val="30"/>
                <w:szCs w:val="30"/>
                <w:lang w:val="en-US" w:eastAsia="zh-CN"/>
              </w:rPr>
              <w:t>5</w:t>
            </w:r>
          </w:p>
        </w:tc>
        <w:tc>
          <w:tcPr>
            <w:tcW w:w="1657"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231" w:right="220"/>
              <w:jc w:val="center"/>
              <w:rPr>
                <w:rFonts w:hint="eastAsia" w:ascii="仿宋_GB2312" w:hAnsi="仿宋_GB2312" w:eastAsia="仿宋_GB2312" w:cs="仿宋_GB2312"/>
                <w:spacing w:val="0"/>
                <w:sz w:val="30"/>
                <w:szCs w:val="30"/>
                <w:lang w:val="en-US" w:eastAsia="zh-CN"/>
              </w:rPr>
            </w:pPr>
            <w:r>
              <w:rPr>
                <w:rFonts w:hint="eastAsia" w:ascii="仿宋_GB2312" w:hAnsi="仿宋_GB2312" w:eastAsia="仿宋_GB2312" w:cs="仿宋_GB2312"/>
                <w:spacing w:val="0"/>
                <w:sz w:val="30"/>
                <w:szCs w:val="30"/>
                <w:lang w:val="en-US" w:eastAsia="zh-CN"/>
              </w:rPr>
              <w:t>8</w:t>
            </w:r>
          </w:p>
        </w:tc>
        <w:tc>
          <w:tcPr>
            <w:tcW w:w="141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231" w:right="220"/>
              <w:jc w:val="center"/>
              <w:rPr>
                <w:rFonts w:hint="eastAsia" w:ascii="仿宋_GB2312" w:hAnsi="仿宋_GB2312" w:eastAsia="仿宋_GB2312" w:cs="仿宋_GB2312"/>
                <w:spacing w:val="0"/>
                <w:sz w:val="30"/>
                <w:szCs w:val="30"/>
                <w:lang w:eastAsia="zh-CN"/>
              </w:rPr>
            </w:pPr>
            <w:r>
              <w:rPr>
                <w:rFonts w:hint="eastAsia" w:ascii="仿宋_GB2312" w:hAnsi="仿宋_GB2312" w:eastAsia="仿宋_GB2312" w:cs="仿宋_GB2312"/>
                <w:spacing w:val="0"/>
                <w:sz w:val="30"/>
                <w:szCs w:val="30"/>
                <w:lang w:eastAsia="zh-CN"/>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9140" w:type="dxa"/>
            <w:gridSpan w:val="7"/>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07"/>
              <w:jc w:val="both"/>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二、创新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53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8"/>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w w:val="100"/>
                <w:sz w:val="30"/>
                <w:szCs w:val="30"/>
              </w:rPr>
              <w:t>5</w:t>
            </w:r>
          </w:p>
        </w:tc>
        <w:tc>
          <w:tcPr>
            <w:tcW w:w="240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高新技术企业数量</w:t>
            </w:r>
          </w:p>
        </w:tc>
        <w:tc>
          <w:tcPr>
            <w:tcW w:w="81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1"/>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w w:val="100"/>
                <w:sz w:val="30"/>
                <w:szCs w:val="30"/>
              </w:rPr>
              <w:t>家</w:t>
            </w:r>
          </w:p>
        </w:tc>
        <w:tc>
          <w:tcPr>
            <w:tcW w:w="1047"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15" w:right="105"/>
              <w:jc w:val="center"/>
              <w:rPr>
                <w:rFonts w:hint="eastAsia" w:ascii="仿宋_GB2312" w:hAnsi="仿宋_GB2312" w:eastAsia="仿宋_GB2312" w:cs="仿宋_GB2312"/>
                <w:spacing w:val="0"/>
                <w:sz w:val="30"/>
                <w:szCs w:val="30"/>
                <w:lang w:val="en-US" w:eastAsia="zh-CN"/>
              </w:rPr>
            </w:pPr>
            <w:r>
              <w:rPr>
                <w:rFonts w:hint="eastAsia" w:ascii="仿宋_GB2312" w:hAnsi="仿宋_GB2312" w:eastAsia="仿宋_GB2312" w:cs="仿宋_GB2312"/>
                <w:spacing w:val="0"/>
                <w:sz w:val="30"/>
                <w:szCs w:val="30"/>
                <w:lang w:val="en-US" w:eastAsia="zh-CN"/>
              </w:rPr>
              <w:t>198</w:t>
            </w:r>
          </w:p>
        </w:tc>
        <w:tc>
          <w:tcPr>
            <w:tcW w:w="1286"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32" w:right="121"/>
              <w:jc w:val="center"/>
              <w:rPr>
                <w:rFonts w:hint="eastAsia" w:ascii="仿宋_GB2312" w:hAnsi="仿宋_GB2312" w:eastAsia="仿宋_GB2312" w:cs="仿宋_GB2312"/>
                <w:spacing w:val="0"/>
                <w:sz w:val="30"/>
                <w:szCs w:val="30"/>
                <w:lang w:val="en-US" w:eastAsia="zh-CN"/>
              </w:rPr>
            </w:pPr>
            <w:r>
              <w:rPr>
                <w:rFonts w:hint="eastAsia" w:ascii="仿宋_GB2312" w:hAnsi="仿宋_GB2312" w:eastAsia="仿宋_GB2312" w:cs="仿宋_GB2312"/>
                <w:spacing w:val="0"/>
                <w:sz w:val="30"/>
                <w:szCs w:val="30"/>
              </w:rPr>
              <w:t>[</w:t>
            </w:r>
            <w:r>
              <w:rPr>
                <w:rFonts w:hint="eastAsia" w:ascii="仿宋_GB2312" w:hAnsi="仿宋_GB2312" w:eastAsia="仿宋_GB2312" w:cs="仿宋_GB2312"/>
                <w:spacing w:val="0"/>
                <w:sz w:val="30"/>
                <w:szCs w:val="30"/>
                <w:lang w:val="en-US" w:eastAsia="zh-CN"/>
              </w:rPr>
              <w:t>245</w:t>
            </w:r>
            <w:r>
              <w:rPr>
                <w:rFonts w:hint="eastAsia" w:ascii="仿宋_GB2312" w:hAnsi="仿宋_GB2312" w:eastAsia="仿宋_GB2312" w:cs="仿宋_GB2312"/>
                <w:spacing w:val="0"/>
                <w:sz w:val="30"/>
                <w:szCs w:val="30"/>
              </w:rPr>
              <w:t>]</w:t>
            </w:r>
          </w:p>
        </w:tc>
        <w:tc>
          <w:tcPr>
            <w:tcW w:w="1657"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231" w:right="220"/>
              <w:jc w:val="center"/>
              <w:rPr>
                <w:rFonts w:hint="eastAsia" w:ascii="仿宋_GB2312" w:hAnsi="仿宋_GB2312" w:eastAsia="仿宋_GB2312" w:cs="仿宋_GB2312"/>
                <w:spacing w:val="0"/>
                <w:sz w:val="30"/>
                <w:szCs w:val="30"/>
                <w:lang w:val="en-US" w:eastAsia="zh-CN"/>
              </w:rPr>
            </w:pPr>
            <w:r>
              <w:rPr>
                <w:rFonts w:hint="eastAsia" w:ascii="仿宋_GB2312" w:hAnsi="仿宋_GB2312" w:eastAsia="仿宋_GB2312" w:cs="仿宋_GB2312"/>
                <w:spacing w:val="0"/>
                <w:sz w:val="30"/>
                <w:szCs w:val="30"/>
              </w:rPr>
              <w:t>[</w:t>
            </w:r>
            <w:r>
              <w:rPr>
                <w:rFonts w:hint="eastAsia" w:ascii="仿宋_GB2312" w:hAnsi="仿宋_GB2312" w:eastAsia="仿宋_GB2312" w:cs="仿宋_GB2312"/>
                <w:spacing w:val="0"/>
                <w:sz w:val="30"/>
                <w:szCs w:val="30"/>
                <w:lang w:val="en-US" w:eastAsia="zh-CN"/>
              </w:rPr>
              <w:t>500</w:t>
            </w:r>
            <w:r>
              <w:rPr>
                <w:rFonts w:hint="eastAsia" w:ascii="仿宋_GB2312" w:hAnsi="仿宋_GB2312" w:eastAsia="仿宋_GB2312" w:cs="仿宋_GB2312"/>
                <w:spacing w:val="0"/>
                <w:sz w:val="30"/>
                <w:szCs w:val="30"/>
              </w:rPr>
              <w:t>]</w:t>
            </w:r>
          </w:p>
        </w:tc>
        <w:tc>
          <w:tcPr>
            <w:tcW w:w="141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231" w:right="220"/>
              <w:jc w:val="center"/>
              <w:rPr>
                <w:rFonts w:hint="eastAsia" w:ascii="仿宋_GB2312" w:hAnsi="仿宋_GB2312" w:eastAsia="仿宋_GB2312" w:cs="仿宋_GB2312"/>
                <w:spacing w:val="0"/>
                <w:sz w:val="30"/>
                <w:szCs w:val="30"/>
                <w:lang w:eastAsia="zh-CN"/>
              </w:rPr>
            </w:pPr>
            <w:r>
              <w:rPr>
                <w:rFonts w:hint="eastAsia" w:ascii="仿宋_GB2312" w:hAnsi="仿宋_GB2312" w:eastAsia="仿宋_GB2312" w:cs="仿宋_GB2312"/>
                <w:spacing w:val="0"/>
                <w:sz w:val="30"/>
                <w:szCs w:val="30"/>
                <w:lang w:eastAsia="zh-CN"/>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3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8"/>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w w:val="100"/>
                <w:sz w:val="30"/>
                <w:szCs w:val="30"/>
              </w:rPr>
              <w:t>6</w:t>
            </w:r>
          </w:p>
        </w:tc>
        <w:tc>
          <w:tcPr>
            <w:tcW w:w="240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技术合同成交额</w:t>
            </w:r>
          </w:p>
        </w:tc>
        <w:tc>
          <w:tcPr>
            <w:tcW w:w="81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0" w:right="176"/>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亿元</w:t>
            </w:r>
          </w:p>
        </w:tc>
        <w:tc>
          <w:tcPr>
            <w:tcW w:w="1047"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15" w:right="105"/>
              <w:jc w:val="center"/>
              <w:rPr>
                <w:rFonts w:hint="eastAsia" w:ascii="仿宋_GB2312" w:hAnsi="仿宋_GB2312" w:eastAsia="仿宋_GB2312" w:cs="仿宋_GB2312"/>
                <w:spacing w:val="0"/>
                <w:sz w:val="30"/>
                <w:szCs w:val="30"/>
                <w:highlight w:val="yellow"/>
                <w:lang w:val="en-US" w:eastAsia="zh-CN"/>
              </w:rPr>
            </w:pPr>
            <w:r>
              <w:rPr>
                <w:rFonts w:hint="eastAsia" w:ascii="仿宋_GB2312" w:hAnsi="仿宋_GB2312" w:eastAsia="仿宋_GB2312" w:cs="仿宋_GB2312"/>
                <w:spacing w:val="0"/>
                <w:sz w:val="30"/>
                <w:szCs w:val="30"/>
                <w:highlight w:val="yellow"/>
                <w:lang w:val="en-US" w:eastAsia="zh-CN"/>
              </w:rPr>
              <w:t>30.1</w:t>
            </w:r>
          </w:p>
        </w:tc>
        <w:tc>
          <w:tcPr>
            <w:tcW w:w="1286"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32" w:right="121"/>
              <w:jc w:val="center"/>
              <w:rPr>
                <w:rFonts w:hint="eastAsia" w:ascii="仿宋_GB2312" w:hAnsi="仿宋_GB2312" w:eastAsia="仿宋_GB2312" w:cs="仿宋_GB2312"/>
                <w:spacing w:val="0"/>
                <w:sz w:val="30"/>
                <w:szCs w:val="30"/>
                <w:highlight w:val="yellow"/>
                <w:lang w:val="en-US" w:eastAsia="zh-CN"/>
              </w:rPr>
            </w:pPr>
            <w:r>
              <w:rPr>
                <w:rFonts w:hint="eastAsia" w:ascii="仿宋_GB2312" w:hAnsi="仿宋_GB2312" w:eastAsia="仿宋_GB2312" w:cs="仿宋_GB2312"/>
                <w:spacing w:val="0"/>
                <w:sz w:val="30"/>
                <w:szCs w:val="30"/>
                <w:highlight w:val="yellow"/>
                <w:lang w:val="en-US" w:eastAsia="zh-CN"/>
              </w:rPr>
              <w:t>25</w:t>
            </w:r>
          </w:p>
        </w:tc>
        <w:tc>
          <w:tcPr>
            <w:tcW w:w="1657"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231" w:right="220"/>
              <w:jc w:val="center"/>
              <w:rPr>
                <w:rFonts w:hint="eastAsia" w:ascii="仿宋_GB2312" w:hAnsi="仿宋_GB2312" w:eastAsia="仿宋_GB2312" w:cs="仿宋_GB2312"/>
                <w:spacing w:val="0"/>
                <w:sz w:val="30"/>
                <w:szCs w:val="30"/>
                <w:highlight w:val="yellow"/>
                <w:lang w:val="en-US" w:eastAsia="zh-CN"/>
              </w:rPr>
            </w:pPr>
            <w:r>
              <w:rPr>
                <w:rFonts w:hint="eastAsia" w:ascii="仿宋_GB2312" w:hAnsi="仿宋_GB2312" w:eastAsia="仿宋_GB2312" w:cs="仿宋_GB2312"/>
                <w:spacing w:val="0"/>
                <w:sz w:val="30"/>
                <w:szCs w:val="30"/>
                <w:highlight w:val="yellow"/>
                <w:lang w:val="en-US" w:eastAsia="zh-CN"/>
              </w:rPr>
              <w:t>50</w:t>
            </w:r>
          </w:p>
        </w:tc>
        <w:tc>
          <w:tcPr>
            <w:tcW w:w="141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231" w:right="220"/>
              <w:jc w:val="center"/>
              <w:rPr>
                <w:rFonts w:hint="eastAsia" w:ascii="仿宋_GB2312" w:hAnsi="仿宋_GB2312" w:eastAsia="仿宋_GB2312" w:cs="仿宋_GB2312"/>
                <w:spacing w:val="0"/>
                <w:sz w:val="30"/>
                <w:szCs w:val="30"/>
                <w:lang w:eastAsia="zh-CN"/>
              </w:rPr>
            </w:pPr>
            <w:r>
              <w:rPr>
                <w:rFonts w:hint="eastAsia" w:ascii="仿宋_GB2312" w:hAnsi="仿宋_GB2312" w:eastAsia="仿宋_GB2312" w:cs="仿宋_GB2312"/>
                <w:spacing w:val="0"/>
                <w:sz w:val="30"/>
                <w:szCs w:val="30"/>
                <w:lang w:eastAsia="zh-CN"/>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3" w:hRule="atLeast"/>
        </w:trPr>
        <w:tc>
          <w:tcPr>
            <w:tcW w:w="530" w:type="dxa"/>
            <w:noWrap w:val="0"/>
            <w:vAlign w:val="center"/>
          </w:tcPr>
          <w:p>
            <w:pPr>
              <w:pStyle w:val="11"/>
              <w:keepNext w:val="0"/>
              <w:keepLines w:val="0"/>
              <w:pageBreakBefore w:val="0"/>
              <w:kinsoku/>
              <w:wordWrap/>
              <w:overflowPunct/>
              <w:topLinePunct w:val="0"/>
              <w:autoSpaceDE/>
              <w:autoSpaceDN/>
              <w:bidi w:val="0"/>
              <w:adjustRightInd/>
              <w:snapToGrid/>
              <w:spacing w:before="155" w:afterAutospacing="0" w:line="580" w:lineRule="exact"/>
              <w:ind w:left="8"/>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w w:val="100"/>
                <w:sz w:val="30"/>
                <w:szCs w:val="30"/>
              </w:rPr>
              <w:t>7</w:t>
            </w:r>
          </w:p>
        </w:tc>
        <w:tc>
          <w:tcPr>
            <w:tcW w:w="240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0"/>
                <w:szCs w:val="30"/>
                <w:lang w:eastAsia="zh-CN"/>
              </w:rPr>
            </w:pPr>
            <w:r>
              <w:rPr>
                <w:rFonts w:hint="eastAsia" w:ascii="仿宋_GB2312" w:hAnsi="仿宋_GB2312" w:eastAsia="仿宋_GB2312" w:cs="仿宋_GB2312"/>
                <w:spacing w:val="0"/>
                <w:sz w:val="30"/>
                <w:szCs w:val="30"/>
              </w:rPr>
              <w:t>研发经费</w:t>
            </w:r>
            <w:r>
              <w:rPr>
                <w:rFonts w:hint="eastAsia" w:ascii="仿宋_GB2312" w:hAnsi="仿宋_GB2312" w:eastAsia="仿宋_GB2312" w:cs="仿宋_GB2312"/>
                <w:spacing w:val="0"/>
                <w:sz w:val="30"/>
                <w:szCs w:val="30"/>
                <w:lang w:eastAsia="zh-CN"/>
              </w:rPr>
              <w:t>投</w:t>
            </w:r>
            <w:r>
              <w:rPr>
                <w:rFonts w:hint="eastAsia" w:ascii="仿宋_GB2312" w:hAnsi="仿宋_GB2312" w:eastAsia="仿宋_GB2312" w:cs="仿宋_GB2312"/>
                <w:spacing w:val="0"/>
                <w:sz w:val="30"/>
                <w:szCs w:val="30"/>
              </w:rPr>
              <w:t>入</w:t>
            </w:r>
            <w:r>
              <w:rPr>
                <w:rFonts w:hint="eastAsia" w:ascii="仿宋_GB2312" w:hAnsi="仿宋_GB2312" w:eastAsia="仿宋_GB2312" w:cs="仿宋_GB2312"/>
                <w:spacing w:val="0"/>
                <w:sz w:val="30"/>
                <w:szCs w:val="30"/>
                <w:lang w:val="en-US"/>
              </w:rPr>
              <w:t>年均</w:t>
            </w:r>
            <w:r>
              <w:rPr>
                <w:rFonts w:hint="eastAsia" w:ascii="仿宋_GB2312" w:hAnsi="仿宋_GB2312" w:eastAsia="仿宋_GB2312" w:cs="仿宋_GB2312"/>
                <w:spacing w:val="0"/>
                <w:sz w:val="30"/>
                <w:szCs w:val="30"/>
                <w:lang w:eastAsia="zh-CN"/>
              </w:rPr>
              <w:t>增长</w:t>
            </w:r>
          </w:p>
        </w:tc>
        <w:tc>
          <w:tcPr>
            <w:tcW w:w="810" w:type="dxa"/>
            <w:noWrap w:val="0"/>
            <w:vAlign w:val="center"/>
          </w:tcPr>
          <w:p>
            <w:pPr>
              <w:pStyle w:val="11"/>
              <w:keepNext w:val="0"/>
              <w:keepLines w:val="0"/>
              <w:pageBreakBefore w:val="0"/>
              <w:kinsoku/>
              <w:wordWrap/>
              <w:overflowPunct/>
              <w:topLinePunct w:val="0"/>
              <w:autoSpaceDE/>
              <w:autoSpaceDN/>
              <w:bidi w:val="0"/>
              <w:adjustRightInd/>
              <w:snapToGrid/>
              <w:spacing w:before="155" w:afterAutospacing="0" w:line="580" w:lineRule="exact"/>
              <w:ind w:left="7"/>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w w:val="100"/>
                <w:sz w:val="30"/>
                <w:szCs w:val="30"/>
              </w:rPr>
              <w:t>%</w:t>
            </w:r>
          </w:p>
        </w:tc>
        <w:tc>
          <w:tcPr>
            <w:tcW w:w="1047" w:type="dxa"/>
            <w:noWrap w:val="0"/>
            <w:vAlign w:val="center"/>
          </w:tcPr>
          <w:p>
            <w:pPr>
              <w:pStyle w:val="11"/>
              <w:keepNext w:val="0"/>
              <w:keepLines w:val="0"/>
              <w:pageBreakBefore w:val="0"/>
              <w:kinsoku/>
              <w:wordWrap/>
              <w:overflowPunct/>
              <w:topLinePunct w:val="0"/>
              <w:autoSpaceDE/>
              <w:autoSpaceDN/>
              <w:bidi w:val="0"/>
              <w:adjustRightInd/>
              <w:snapToGrid/>
              <w:spacing w:before="155" w:afterAutospacing="0" w:line="580" w:lineRule="exact"/>
              <w:ind w:left="115" w:right="104"/>
              <w:jc w:val="center"/>
              <w:rPr>
                <w:rFonts w:hint="eastAsia" w:ascii="仿宋_GB2312" w:hAnsi="仿宋_GB2312" w:eastAsia="仿宋_GB2312" w:cs="仿宋_GB2312"/>
                <w:spacing w:val="0"/>
                <w:sz w:val="30"/>
                <w:szCs w:val="30"/>
                <w:lang w:val="en-US" w:eastAsia="zh-CN"/>
              </w:rPr>
            </w:pPr>
            <w:r>
              <w:rPr>
                <w:rFonts w:hint="eastAsia" w:ascii="仿宋_GB2312" w:hAnsi="仿宋_GB2312" w:eastAsia="仿宋_GB2312" w:cs="仿宋_GB2312"/>
                <w:spacing w:val="0"/>
                <w:sz w:val="30"/>
                <w:szCs w:val="30"/>
                <w:lang w:val="en-US" w:eastAsia="zh-CN"/>
              </w:rPr>
              <w:t>（19）</w:t>
            </w:r>
          </w:p>
        </w:tc>
        <w:tc>
          <w:tcPr>
            <w:tcW w:w="1286" w:type="dxa"/>
            <w:noWrap w:val="0"/>
            <w:vAlign w:val="center"/>
          </w:tcPr>
          <w:p>
            <w:pPr>
              <w:pStyle w:val="11"/>
              <w:keepNext w:val="0"/>
              <w:keepLines w:val="0"/>
              <w:pageBreakBefore w:val="0"/>
              <w:kinsoku/>
              <w:wordWrap/>
              <w:overflowPunct/>
              <w:topLinePunct w:val="0"/>
              <w:autoSpaceDE/>
              <w:autoSpaceDN/>
              <w:bidi w:val="0"/>
              <w:adjustRightInd/>
              <w:snapToGrid/>
              <w:spacing w:before="136" w:afterAutospacing="0" w:line="580" w:lineRule="exact"/>
              <w:ind w:left="132" w:right="124"/>
              <w:jc w:val="center"/>
              <w:rPr>
                <w:rFonts w:hint="eastAsia" w:ascii="仿宋_GB2312" w:hAnsi="仿宋_GB2312" w:eastAsia="仿宋_GB2312" w:cs="仿宋_GB2312"/>
                <w:spacing w:val="0"/>
                <w:sz w:val="30"/>
                <w:szCs w:val="30"/>
                <w:lang w:val="en-US" w:eastAsia="zh-CN"/>
              </w:rPr>
            </w:pPr>
            <w:r>
              <w:rPr>
                <w:rFonts w:hint="eastAsia" w:ascii="仿宋_GB2312" w:hAnsi="仿宋_GB2312" w:eastAsia="仿宋_GB2312" w:cs="仿宋_GB2312"/>
                <w:spacing w:val="0"/>
                <w:sz w:val="30"/>
                <w:szCs w:val="30"/>
                <w:lang w:val="en-US" w:eastAsia="zh-CN"/>
              </w:rPr>
              <w:t>20</w:t>
            </w:r>
          </w:p>
        </w:tc>
        <w:tc>
          <w:tcPr>
            <w:tcW w:w="1657" w:type="dxa"/>
            <w:noWrap w:val="0"/>
            <w:vAlign w:val="center"/>
          </w:tcPr>
          <w:p>
            <w:pPr>
              <w:pStyle w:val="11"/>
              <w:keepNext w:val="0"/>
              <w:keepLines w:val="0"/>
              <w:pageBreakBefore w:val="0"/>
              <w:kinsoku/>
              <w:wordWrap/>
              <w:overflowPunct/>
              <w:topLinePunct w:val="0"/>
              <w:autoSpaceDE/>
              <w:autoSpaceDN/>
              <w:bidi w:val="0"/>
              <w:adjustRightInd/>
              <w:snapToGrid/>
              <w:spacing w:before="155" w:afterAutospacing="0" w:line="580" w:lineRule="exact"/>
              <w:ind w:left="231" w:right="223"/>
              <w:jc w:val="center"/>
              <w:rPr>
                <w:rFonts w:hint="eastAsia" w:ascii="仿宋_GB2312" w:hAnsi="仿宋_GB2312" w:eastAsia="仿宋_GB2312" w:cs="仿宋_GB2312"/>
                <w:spacing w:val="0"/>
                <w:sz w:val="30"/>
                <w:szCs w:val="30"/>
                <w:lang w:val="en-US" w:eastAsia="zh-CN"/>
              </w:rPr>
            </w:pPr>
            <w:r>
              <w:rPr>
                <w:rFonts w:hint="eastAsia" w:ascii="仿宋_GB2312" w:hAnsi="仿宋_GB2312" w:eastAsia="仿宋_GB2312" w:cs="仿宋_GB2312"/>
                <w:spacing w:val="0"/>
                <w:sz w:val="30"/>
                <w:szCs w:val="30"/>
                <w:lang w:val="en-US" w:eastAsia="zh-CN"/>
              </w:rPr>
              <w:t>25</w:t>
            </w:r>
          </w:p>
        </w:tc>
        <w:tc>
          <w:tcPr>
            <w:tcW w:w="1410" w:type="dxa"/>
            <w:noWrap w:val="0"/>
            <w:vAlign w:val="center"/>
          </w:tcPr>
          <w:p>
            <w:pPr>
              <w:pStyle w:val="11"/>
              <w:keepNext w:val="0"/>
              <w:keepLines w:val="0"/>
              <w:pageBreakBefore w:val="0"/>
              <w:kinsoku/>
              <w:wordWrap/>
              <w:overflowPunct/>
              <w:topLinePunct w:val="0"/>
              <w:autoSpaceDE/>
              <w:autoSpaceDN/>
              <w:bidi w:val="0"/>
              <w:adjustRightInd/>
              <w:snapToGrid/>
              <w:spacing w:before="155" w:afterAutospacing="0" w:line="580" w:lineRule="exact"/>
              <w:ind w:left="231" w:right="223"/>
              <w:jc w:val="center"/>
              <w:rPr>
                <w:rFonts w:hint="eastAsia" w:ascii="仿宋_GB2312" w:hAnsi="仿宋_GB2312" w:eastAsia="仿宋_GB2312" w:cs="仿宋_GB2312"/>
                <w:spacing w:val="0"/>
                <w:sz w:val="30"/>
                <w:szCs w:val="30"/>
                <w:lang w:eastAsia="zh-CN"/>
              </w:rPr>
            </w:pPr>
            <w:r>
              <w:rPr>
                <w:rFonts w:hint="eastAsia" w:ascii="仿宋_GB2312" w:hAnsi="仿宋_GB2312" w:eastAsia="仿宋_GB2312" w:cs="仿宋_GB2312"/>
                <w:spacing w:val="0"/>
                <w:sz w:val="30"/>
                <w:szCs w:val="30"/>
                <w:lang w:eastAsia="zh-CN"/>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1" w:hRule="atLeast"/>
        </w:trPr>
        <w:tc>
          <w:tcPr>
            <w:tcW w:w="530" w:type="dxa"/>
            <w:noWrap w:val="0"/>
            <w:vAlign w:val="center"/>
          </w:tcPr>
          <w:p>
            <w:pPr>
              <w:pStyle w:val="11"/>
              <w:keepNext w:val="0"/>
              <w:keepLines w:val="0"/>
              <w:pageBreakBefore w:val="0"/>
              <w:kinsoku/>
              <w:wordWrap/>
              <w:overflowPunct/>
              <w:topLinePunct w:val="0"/>
              <w:autoSpaceDE/>
              <w:autoSpaceDN/>
              <w:bidi w:val="0"/>
              <w:adjustRightInd/>
              <w:snapToGrid/>
              <w:spacing w:before="155" w:afterAutospacing="0" w:line="580" w:lineRule="exact"/>
              <w:ind w:left="8"/>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w w:val="100"/>
                <w:sz w:val="30"/>
                <w:szCs w:val="30"/>
              </w:rPr>
              <w:t>8</w:t>
            </w:r>
          </w:p>
        </w:tc>
        <w:tc>
          <w:tcPr>
            <w:tcW w:w="240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right="95"/>
              <w:jc w:val="left"/>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每万人有效发明专利拥有量</w:t>
            </w:r>
          </w:p>
        </w:tc>
        <w:tc>
          <w:tcPr>
            <w:tcW w:w="810" w:type="dxa"/>
            <w:noWrap w:val="0"/>
            <w:vAlign w:val="center"/>
          </w:tcPr>
          <w:p>
            <w:pPr>
              <w:pStyle w:val="11"/>
              <w:keepNext w:val="0"/>
              <w:keepLines w:val="0"/>
              <w:pageBreakBefore w:val="0"/>
              <w:kinsoku/>
              <w:wordWrap/>
              <w:overflowPunct/>
              <w:topLinePunct w:val="0"/>
              <w:autoSpaceDE/>
              <w:autoSpaceDN/>
              <w:bidi w:val="0"/>
              <w:adjustRightInd/>
              <w:snapToGrid/>
              <w:spacing w:before="137" w:afterAutospacing="0" w:line="580" w:lineRule="exact"/>
              <w:ind w:left="11"/>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w w:val="100"/>
                <w:sz w:val="30"/>
                <w:szCs w:val="30"/>
              </w:rPr>
              <w:t>件</w:t>
            </w:r>
          </w:p>
        </w:tc>
        <w:tc>
          <w:tcPr>
            <w:tcW w:w="1047" w:type="dxa"/>
            <w:noWrap w:val="0"/>
            <w:vAlign w:val="center"/>
          </w:tcPr>
          <w:p>
            <w:pPr>
              <w:pStyle w:val="11"/>
              <w:keepNext w:val="0"/>
              <w:keepLines w:val="0"/>
              <w:pageBreakBefore w:val="0"/>
              <w:kinsoku/>
              <w:wordWrap/>
              <w:overflowPunct/>
              <w:topLinePunct w:val="0"/>
              <w:autoSpaceDE/>
              <w:autoSpaceDN/>
              <w:bidi w:val="0"/>
              <w:adjustRightInd/>
              <w:snapToGrid/>
              <w:spacing w:before="155" w:afterAutospacing="0" w:line="580" w:lineRule="exact"/>
              <w:ind w:left="115" w:right="104"/>
              <w:jc w:val="center"/>
              <w:rPr>
                <w:rFonts w:hint="eastAsia" w:ascii="仿宋_GB2312" w:hAnsi="仿宋_GB2312" w:eastAsia="仿宋_GB2312" w:cs="仿宋_GB2312"/>
                <w:spacing w:val="0"/>
                <w:sz w:val="30"/>
                <w:szCs w:val="30"/>
                <w:highlight w:val="yellow"/>
                <w:lang w:val="en-US" w:eastAsia="zh-CN"/>
              </w:rPr>
            </w:pPr>
            <w:r>
              <w:rPr>
                <w:rFonts w:hint="eastAsia" w:ascii="仿宋_GB2312" w:hAnsi="仿宋_GB2312" w:eastAsia="仿宋_GB2312" w:cs="仿宋_GB2312"/>
                <w:spacing w:val="0"/>
                <w:sz w:val="30"/>
                <w:szCs w:val="30"/>
                <w:highlight w:val="yellow"/>
                <w:lang w:val="en-US" w:eastAsia="zh-CN"/>
              </w:rPr>
              <w:t>1.09</w:t>
            </w:r>
          </w:p>
        </w:tc>
        <w:tc>
          <w:tcPr>
            <w:tcW w:w="1286" w:type="dxa"/>
            <w:noWrap w:val="0"/>
            <w:vAlign w:val="center"/>
          </w:tcPr>
          <w:p>
            <w:pPr>
              <w:pStyle w:val="11"/>
              <w:keepNext w:val="0"/>
              <w:keepLines w:val="0"/>
              <w:pageBreakBefore w:val="0"/>
              <w:kinsoku/>
              <w:wordWrap/>
              <w:overflowPunct/>
              <w:topLinePunct w:val="0"/>
              <w:autoSpaceDE/>
              <w:autoSpaceDN/>
              <w:bidi w:val="0"/>
              <w:adjustRightInd/>
              <w:snapToGrid/>
              <w:spacing w:before="155" w:afterAutospacing="0" w:line="580" w:lineRule="exact"/>
              <w:ind w:left="9"/>
              <w:jc w:val="center"/>
              <w:rPr>
                <w:rFonts w:hint="eastAsia" w:ascii="仿宋_GB2312" w:hAnsi="仿宋_GB2312" w:eastAsia="仿宋_GB2312" w:cs="仿宋_GB2312"/>
                <w:spacing w:val="0"/>
                <w:sz w:val="30"/>
                <w:szCs w:val="30"/>
                <w:highlight w:val="yellow"/>
                <w:lang w:val="en-US" w:eastAsia="zh-CN"/>
              </w:rPr>
            </w:pPr>
            <w:r>
              <w:rPr>
                <w:rFonts w:hint="eastAsia" w:ascii="仿宋_GB2312" w:hAnsi="仿宋_GB2312" w:eastAsia="仿宋_GB2312" w:cs="仿宋_GB2312"/>
                <w:spacing w:val="0"/>
                <w:sz w:val="30"/>
                <w:szCs w:val="30"/>
                <w:highlight w:val="yellow"/>
                <w:lang w:val="en-US" w:eastAsia="zh-CN"/>
              </w:rPr>
              <w:t>1</w:t>
            </w:r>
          </w:p>
        </w:tc>
        <w:tc>
          <w:tcPr>
            <w:tcW w:w="1657" w:type="dxa"/>
            <w:noWrap w:val="0"/>
            <w:vAlign w:val="center"/>
          </w:tcPr>
          <w:p>
            <w:pPr>
              <w:pStyle w:val="11"/>
              <w:keepNext w:val="0"/>
              <w:keepLines w:val="0"/>
              <w:pageBreakBefore w:val="0"/>
              <w:kinsoku/>
              <w:wordWrap/>
              <w:overflowPunct/>
              <w:topLinePunct w:val="0"/>
              <w:autoSpaceDE/>
              <w:autoSpaceDN/>
              <w:bidi w:val="0"/>
              <w:adjustRightInd/>
              <w:snapToGrid/>
              <w:spacing w:before="155" w:afterAutospacing="0" w:line="580" w:lineRule="exact"/>
              <w:ind w:left="8"/>
              <w:jc w:val="center"/>
              <w:rPr>
                <w:rFonts w:hint="eastAsia" w:ascii="仿宋_GB2312" w:hAnsi="仿宋_GB2312" w:eastAsia="仿宋_GB2312" w:cs="仿宋_GB2312"/>
                <w:spacing w:val="0"/>
                <w:sz w:val="30"/>
                <w:szCs w:val="30"/>
                <w:highlight w:val="yellow"/>
                <w:lang w:val="en-US" w:eastAsia="zh-CN"/>
              </w:rPr>
            </w:pPr>
            <w:r>
              <w:rPr>
                <w:rFonts w:hint="eastAsia" w:ascii="仿宋_GB2312" w:hAnsi="仿宋_GB2312" w:eastAsia="仿宋_GB2312" w:cs="仿宋_GB2312"/>
                <w:spacing w:val="0"/>
                <w:sz w:val="30"/>
                <w:szCs w:val="30"/>
                <w:highlight w:val="yellow"/>
                <w:lang w:val="en-US" w:eastAsia="zh-CN"/>
              </w:rPr>
              <w:t>3</w:t>
            </w:r>
          </w:p>
        </w:tc>
        <w:tc>
          <w:tcPr>
            <w:tcW w:w="1410" w:type="dxa"/>
            <w:noWrap w:val="0"/>
            <w:vAlign w:val="center"/>
          </w:tcPr>
          <w:p>
            <w:pPr>
              <w:pStyle w:val="11"/>
              <w:keepNext w:val="0"/>
              <w:keepLines w:val="0"/>
              <w:pageBreakBefore w:val="0"/>
              <w:kinsoku/>
              <w:wordWrap/>
              <w:overflowPunct/>
              <w:topLinePunct w:val="0"/>
              <w:autoSpaceDE/>
              <w:autoSpaceDN/>
              <w:bidi w:val="0"/>
              <w:adjustRightInd/>
              <w:snapToGrid/>
              <w:spacing w:before="155" w:afterAutospacing="0" w:line="580" w:lineRule="exact"/>
              <w:ind w:left="8"/>
              <w:jc w:val="center"/>
              <w:rPr>
                <w:rFonts w:hint="eastAsia" w:ascii="仿宋_GB2312" w:hAnsi="仿宋_GB2312" w:eastAsia="仿宋_GB2312" w:cs="仿宋_GB2312"/>
                <w:spacing w:val="0"/>
                <w:w w:val="100"/>
                <w:sz w:val="30"/>
                <w:szCs w:val="30"/>
                <w:lang w:eastAsia="zh-CN"/>
              </w:rPr>
            </w:pPr>
            <w:r>
              <w:rPr>
                <w:rFonts w:hint="eastAsia" w:ascii="仿宋_GB2312" w:hAnsi="仿宋_GB2312" w:eastAsia="仿宋_GB2312" w:cs="仿宋_GB2312"/>
                <w:spacing w:val="0"/>
                <w:w w:val="100"/>
                <w:sz w:val="30"/>
                <w:szCs w:val="30"/>
                <w:lang w:eastAsia="zh-CN"/>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530" w:type="dxa"/>
            <w:noWrap w:val="0"/>
            <w:vAlign w:val="center"/>
          </w:tcPr>
          <w:p>
            <w:pPr>
              <w:pStyle w:val="11"/>
              <w:keepNext w:val="0"/>
              <w:keepLines w:val="0"/>
              <w:pageBreakBefore w:val="0"/>
              <w:kinsoku/>
              <w:wordWrap/>
              <w:overflowPunct/>
              <w:topLinePunct w:val="0"/>
              <w:autoSpaceDE/>
              <w:autoSpaceDN/>
              <w:bidi w:val="0"/>
              <w:adjustRightInd/>
              <w:snapToGrid/>
              <w:spacing w:before="155" w:afterAutospacing="0" w:line="580" w:lineRule="exact"/>
              <w:ind w:left="8"/>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w w:val="100"/>
                <w:sz w:val="30"/>
                <w:szCs w:val="30"/>
              </w:rPr>
              <w:t>9</w:t>
            </w:r>
          </w:p>
        </w:tc>
        <w:tc>
          <w:tcPr>
            <w:tcW w:w="240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right="95"/>
              <w:jc w:val="left"/>
              <w:rPr>
                <w:rFonts w:hint="eastAsia" w:ascii="仿宋_GB2312" w:hAnsi="仿宋_GB2312" w:eastAsia="仿宋_GB2312" w:cs="仿宋_GB2312"/>
                <w:spacing w:val="0"/>
                <w:sz w:val="30"/>
                <w:szCs w:val="30"/>
                <w:lang w:eastAsia="zh-CN"/>
              </w:rPr>
            </w:pPr>
            <w:r>
              <w:rPr>
                <w:rFonts w:hint="eastAsia" w:ascii="仿宋_GB2312" w:hAnsi="仿宋_GB2312" w:eastAsia="仿宋_GB2312" w:cs="仿宋_GB2312"/>
                <w:spacing w:val="0"/>
                <w:sz w:val="30"/>
                <w:szCs w:val="30"/>
                <w:lang w:eastAsia="zh-CN"/>
              </w:rPr>
              <w:t>公民具备基本科学素养比例</w:t>
            </w:r>
          </w:p>
        </w:tc>
        <w:tc>
          <w:tcPr>
            <w:tcW w:w="810" w:type="dxa"/>
            <w:noWrap w:val="0"/>
            <w:vAlign w:val="center"/>
          </w:tcPr>
          <w:p>
            <w:pPr>
              <w:pStyle w:val="11"/>
              <w:keepNext w:val="0"/>
              <w:keepLines w:val="0"/>
              <w:pageBreakBefore w:val="0"/>
              <w:kinsoku/>
              <w:wordWrap/>
              <w:overflowPunct/>
              <w:topLinePunct w:val="0"/>
              <w:autoSpaceDE/>
              <w:autoSpaceDN/>
              <w:bidi w:val="0"/>
              <w:adjustRightInd/>
              <w:snapToGrid/>
              <w:spacing w:before="155" w:afterAutospacing="0" w:line="580" w:lineRule="exact"/>
              <w:ind w:left="7"/>
              <w:jc w:val="center"/>
              <w:rPr>
                <w:rFonts w:hint="eastAsia" w:ascii="仿宋_GB2312" w:hAnsi="仿宋_GB2312" w:eastAsia="仿宋_GB2312" w:cs="仿宋_GB2312"/>
                <w:spacing w:val="0"/>
                <w:sz w:val="30"/>
                <w:szCs w:val="30"/>
                <w:lang w:eastAsia="zh-CN"/>
              </w:rPr>
            </w:pPr>
            <w:r>
              <w:rPr>
                <w:rFonts w:hint="eastAsia" w:ascii="仿宋_GB2312" w:hAnsi="仿宋_GB2312" w:eastAsia="仿宋_GB2312" w:cs="仿宋_GB2312"/>
                <w:spacing w:val="0"/>
                <w:w w:val="100"/>
                <w:sz w:val="30"/>
                <w:szCs w:val="30"/>
                <w:lang w:val="en-US" w:eastAsia="zh-CN"/>
              </w:rPr>
              <w:t>%</w:t>
            </w:r>
          </w:p>
        </w:tc>
        <w:tc>
          <w:tcPr>
            <w:tcW w:w="1047" w:type="dxa"/>
            <w:noWrap w:val="0"/>
            <w:vAlign w:val="center"/>
          </w:tcPr>
          <w:p>
            <w:pPr>
              <w:pStyle w:val="11"/>
              <w:keepNext w:val="0"/>
              <w:keepLines w:val="0"/>
              <w:pageBreakBefore w:val="0"/>
              <w:kinsoku/>
              <w:wordWrap/>
              <w:overflowPunct/>
              <w:topLinePunct w:val="0"/>
              <w:autoSpaceDE/>
              <w:autoSpaceDN/>
              <w:bidi w:val="0"/>
              <w:adjustRightInd/>
              <w:snapToGrid/>
              <w:spacing w:before="155" w:afterAutospacing="0" w:line="580" w:lineRule="exact"/>
              <w:ind w:left="115" w:right="107"/>
              <w:jc w:val="center"/>
              <w:rPr>
                <w:rFonts w:hint="eastAsia" w:ascii="仿宋_GB2312" w:hAnsi="仿宋_GB2312" w:eastAsia="仿宋_GB2312" w:cs="仿宋_GB2312"/>
                <w:spacing w:val="0"/>
                <w:sz w:val="30"/>
                <w:szCs w:val="30"/>
                <w:lang w:val="en-US" w:eastAsia="zh-CN"/>
              </w:rPr>
            </w:pPr>
            <w:r>
              <w:rPr>
                <w:rFonts w:hint="eastAsia" w:ascii="仿宋_GB2312" w:hAnsi="仿宋_GB2312" w:eastAsia="仿宋_GB2312" w:cs="仿宋_GB2312"/>
                <w:spacing w:val="0"/>
                <w:sz w:val="30"/>
                <w:szCs w:val="30"/>
                <w:lang w:val="en-US" w:eastAsia="zh-CN"/>
              </w:rPr>
              <w:t>9.3</w:t>
            </w:r>
          </w:p>
        </w:tc>
        <w:tc>
          <w:tcPr>
            <w:tcW w:w="1286" w:type="dxa"/>
            <w:noWrap w:val="0"/>
            <w:vAlign w:val="center"/>
          </w:tcPr>
          <w:p>
            <w:pPr>
              <w:pStyle w:val="11"/>
              <w:keepNext w:val="0"/>
              <w:keepLines w:val="0"/>
              <w:pageBreakBefore w:val="0"/>
              <w:kinsoku/>
              <w:wordWrap/>
              <w:overflowPunct/>
              <w:topLinePunct w:val="0"/>
              <w:autoSpaceDE/>
              <w:autoSpaceDN/>
              <w:bidi w:val="0"/>
              <w:adjustRightInd/>
              <w:snapToGrid/>
              <w:spacing w:before="155" w:afterAutospacing="0" w:line="580" w:lineRule="exact"/>
              <w:ind w:left="132" w:right="123"/>
              <w:jc w:val="center"/>
              <w:rPr>
                <w:rFonts w:hint="eastAsia" w:ascii="仿宋_GB2312" w:hAnsi="仿宋_GB2312" w:eastAsia="仿宋_GB2312" w:cs="仿宋_GB2312"/>
                <w:spacing w:val="0"/>
                <w:sz w:val="30"/>
                <w:szCs w:val="30"/>
                <w:lang w:val="en-US" w:eastAsia="zh-CN"/>
              </w:rPr>
            </w:pPr>
            <w:r>
              <w:rPr>
                <w:rFonts w:hint="eastAsia" w:ascii="仿宋_GB2312" w:hAnsi="仿宋_GB2312" w:eastAsia="仿宋_GB2312" w:cs="仿宋_GB2312"/>
                <w:spacing w:val="0"/>
                <w:sz w:val="30"/>
                <w:szCs w:val="30"/>
                <w:lang w:val="en-US" w:eastAsia="zh-CN"/>
              </w:rPr>
              <w:t>15</w:t>
            </w:r>
          </w:p>
        </w:tc>
        <w:tc>
          <w:tcPr>
            <w:tcW w:w="1657" w:type="dxa"/>
            <w:noWrap w:val="0"/>
            <w:vAlign w:val="center"/>
          </w:tcPr>
          <w:p>
            <w:pPr>
              <w:pStyle w:val="11"/>
              <w:keepNext w:val="0"/>
              <w:keepLines w:val="0"/>
              <w:pageBreakBefore w:val="0"/>
              <w:kinsoku/>
              <w:wordWrap/>
              <w:overflowPunct/>
              <w:topLinePunct w:val="0"/>
              <w:autoSpaceDE/>
              <w:autoSpaceDN/>
              <w:bidi w:val="0"/>
              <w:adjustRightInd/>
              <w:snapToGrid/>
              <w:spacing w:before="155" w:afterAutospacing="0" w:line="580" w:lineRule="exact"/>
              <w:ind w:left="231" w:right="223"/>
              <w:jc w:val="center"/>
              <w:rPr>
                <w:rFonts w:hint="eastAsia" w:ascii="仿宋_GB2312" w:hAnsi="仿宋_GB2312" w:eastAsia="仿宋_GB2312" w:cs="仿宋_GB2312"/>
                <w:spacing w:val="0"/>
                <w:sz w:val="30"/>
                <w:szCs w:val="30"/>
                <w:lang w:val="en-US" w:eastAsia="zh-CN"/>
              </w:rPr>
            </w:pPr>
            <w:r>
              <w:rPr>
                <w:rFonts w:hint="eastAsia" w:ascii="仿宋_GB2312" w:hAnsi="仿宋_GB2312" w:eastAsia="仿宋_GB2312" w:cs="仿宋_GB2312"/>
                <w:spacing w:val="0"/>
                <w:sz w:val="30"/>
                <w:szCs w:val="30"/>
                <w:lang w:val="en-US" w:eastAsia="zh-CN"/>
              </w:rPr>
              <w:t>30</w:t>
            </w:r>
          </w:p>
        </w:tc>
        <w:tc>
          <w:tcPr>
            <w:tcW w:w="1410" w:type="dxa"/>
            <w:noWrap w:val="0"/>
            <w:vAlign w:val="center"/>
          </w:tcPr>
          <w:p>
            <w:pPr>
              <w:pStyle w:val="11"/>
              <w:keepNext w:val="0"/>
              <w:keepLines w:val="0"/>
              <w:pageBreakBefore w:val="0"/>
              <w:kinsoku/>
              <w:wordWrap/>
              <w:overflowPunct/>
              <w:topLinePunct w:val="0"/>
              <w:autoSpaceDE/>
              <w:autoSpaceDN/>
              <w:bidi w:val="0"/>
              <w:adjustRightInd/>
              <w:snapToGrid/>
              <w:spacing w:before="155" w:afterAutospacing="0" w:line="580" w:lineRule="exact"/>
              <w:ind w:left="231" w:right="223"/>
              <w:jc w:val="center"/>
              <w:rPr>
                <w:rFonts w:hint="eastAsia" w:ascii="仿宋_GB2312" w:hAnsi="仿宋_GB2312" w:eastAsia="仿宋_GB2312" w:cs="仿宋_GB2312"/>
                <w:spacing w:val="0"/>
                <w:sz w:val="30"/>
                <w:szCs w:val="30"/>
                <w:lang w:eastAsia="zh-CN"/>
              </w:rPr>
            </w:pPr>
            <w:r>
              <w:rPr>
                <w:rFonts w:hint="eastAsia" w:ascii="仿宋_GB2312" w:hAnsi="仿宋_GB2312" w:eastAsia="仿宋_GB2312" w:cs="仿宋_GB2312"/>
                <w:spacing w:val="0"/>
                <w:sz w:val="30"/>
                <w:szCs w:val="30"/>
                <w:lang w:eastAsia="zh-CN"/>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140" w:type="dxa"/>
            <w:gridSpan w:val="7"/>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07"/>
              <w:jc w:val="both"/>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三、协调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53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19" w:right="108"/>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10</w:t>
            </w:r>
          </w:p>
        </w:tc>
        <w:tc>
          <w:tcPr>
            <w:tcW w:w="240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常住人口城镇化率</w:t>
            </w:r>
          </w:p>
        </w:tc>
        <w:tc>
          <w:tcPr>
            <w:tcW w:w="81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7"/>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w w:val="100"/>
                <w:sz w:val="30"/>
                <w:szCs w:val="30"/>
              </w:rPr>
              <w:t>%</w:t>
            </w:r>
          </w:p>
        </w:tc>
        <w:tc>
          <w:tcPr>
            <w:tcW w:w="1047"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15" w:right="107"/>
              <w:jc w:val="center"/>
              <w:rPr>
                <w:rFonts w:hint="eastAsia" w:ascii="仿宋_GB2312" w:hAnsi="仿宋_GB2312" w:eastAsia="仿宋_GB2312" w:cs="仿宋_GB2312"/>
                <w:spacing w:val="0"/>
                <w:sz w:val="30"/>
                <w:szCs w:val="30"/>
                <w:lang w:val="en-US" w:eastAsia="zh-CN"/>
              </w:rPr>
            </w:pPr>
            <w:r>
              <w:rPr>
                <w:rFonts w:hint="eastAsia" w:ascii="仿宋_GB2312" w:hAnsi="仿宋_GB2312" w:eastAsia="仿宋_GB2312" w:cs="仿宋_GB2312"/>
                <w:spacing w:val="0"/>
                <w:sz w:val="30"/>
                <w:szCs w:val="30"/>
                <w:lang w:val="en-US" w:eastAsia="zh-CN"/>
              </w:rPr>
              <w:t>45.81</w:t>
            </w:r>
          </w:p>
        </w:tc>
        <w:tc>
          <w:tcPr>
            <w:tcW w:w="1286"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32" w:right="124"/>
              <w:jc w:val="center"/>
              <w:rPr>
                <w:rFonts w:hint="eastAsia" w:ascii="仿宋_GB2312" w:hAnsi="仿宋_GB2312" w:eastAsia="仿宋_GB2312" w:cs="仿宋_GB2312"/>
                <w:spacing w:val="0"/>
                <w:sz w:val="30"/>
                <w:szCs w:val="30"/>
                <w:lang w:val="en-US" w:eastAsia="zh-CN"/>
              </w:rPr>
            </w:pPr>
            <w:r>
              <w:rPr>
                <w:rFonts w:hint="eastAsia" w:ascii="仿宋_GB2312" w:hAnsi="仿宋_GB2312" w:eastAsia="仿宋_GB2312" w:cs="仿宋_GB2312"/>
                <w:spacing w:val="0"/>
                <w:sz w:val="30"/>
                <w:szCs w:val="30"/>
                <w:lang w:val="en-US" w:eastAsia="zh-CN"/>
              </w:rPr>
              <w:t>53</w:t>
            </w:r>
          </w:p>
        </w:tc>
        <w:tc>
          <w:tcPr>
            <w:tcW w:w="1657"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231" w:right="224"/>
              <w:jc w:val="center"/>
              <w:rPr>
                <w:rFonts w:hint="eastAsia" w:ascii="仿宋_GB2312" w:hAnsi="仿宋_GB2312" w:eastAsia="仿宋_GB2312" w:cs="仿宋_GB2312"/>
                <w:spacing w:val="0"/>
                <w:sz w:val="30"/>
                <w:szCs w:val="30"/>
                <w:lang w:eastAsia="zh-CN"/>
              </w:rPr>
            </w:pPr>
            <w:r>
              <w:rPr>
                <w:rFonts w:hint="eastAsia" w:ascii="仿宋_GB2312" w:hAnsi="仿宋_GB2312" w:eastAsia="仿宋_GB2312" w:cs="仿宋_GB2312"/>
                <w:spacing w:val="0"/>
                <w:sz w:val="30"/>
                <w:szCs w:val="30"/>
                <w:lang w:eastAsia="zh-CN"/>
              </w:rPr>
              <w:t>达到全省平均水平</w:t>
            </w:r>
          </w:p>
        </w:tc>
        <w:tc>
          <w:tcPr>
            <w:tcW w:w="141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231" w:right="224"/>
              <w:jc w:val="center"/>
              <w:rPr>
                <w:rFonts w:hint="eastAsia" w:ascii="仿宋_GB2312" w:hAnsi="仿宋_GB2312" w:eastAsia="仿宋_GB2312" w:cs="仿宋_GB2312"/>
                <w:spacing w:val="0"/>
                <w:sz w:val="30"/>
                <w:szCs w:val="30"/>
                <w:lang w:eastAsia="zh-CN"/>
              </w:rPr>
            </w:pPr>
            <w:r>
              <w:rPr>
                <w:rFonts w:hint="eastAsia" w:ascii="仿宋_GB2312" w:hAnsi="仿宋_GB2312" w:eastAsia="仿宋_GB2312" w:cs="仿宋_GB2312"/>
                <w:spacing w:val="0"/>
                <w:sz w:val="30"/>
                <w:szCs w:val="30"/>
                <w:lang w:eastAsia="zh-CN"/>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53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20" w:right="107"/>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11</w:t>
            </w:r>
          </w:p>
        </w:tc>
        <w:tc>
          <w:tcPr>
            <w:tcW w:w="240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城乡居民收入比</w:t>
            </w:r>
          </w:p>
        </w:tc>
        <w:tc>
          <w:tcPr>
            <w:tcW w:w="81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1"/>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w w:val="100"/>
                <w:sz w:val="30"/>
                <w:szCs w:val="30"/>
              </w:rPr>
              <w:t>-</w:t>
            </w:r>
          </w:p>
        </w:tc>
        <w:tc>
          <w:tcPr>
            <w:tcW w:w="1047"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15" w:right="104"/>
              <w:jc w:val="center"/>
              <w:rPr>
                <w:rFonts w:hint="eastAsia" w:ascii="仿宋_GB2312" w:hAnsi="仿宋_GB2312" w:eastAsia="仿宋_GB2312" w:cs="仿宋_GB2312"/>
                <w:spacing w:val="0"/>
                <w:sz w:val="30"/>
                <w:szCs w:val="30"/>
                <w:highlight w:val="yellow"/>
                <w:lang w:val="en-US" w:eastAsia="zh-CN"/>
              </w:rPr>
            </w:pPr>
            <w:r>
              <w:rPr>
                <w:rFonts w:hint="eastAsia" w:ascii="仿宋_GB2312" w:hAnsi="仿宋_GB2312" w:eastAsia="仿宋_GB2312" w:cs="仿宋_GB2312"/>
                <w:spacing w:val="0"/>
                <w:sz w:val="30"/>
                <w:szCs w:val="30"/>
                <w:highlight w:val="yellow"/>
                <w:lang w:val="en-US" w:eastAsia="zh-CN"/>
              </w:rPr>
              <w:t>2.12</w:t>
            </w:r>
          </w:p>
        </w:tc>
        <w:tc>
          <w:tcPr>
            <w:tcW w:w="1286"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32" w:right="123"/>
              <w:jc w:val="center"/>
              <w:rPr>
                <w:rFonts w:hint="eastAsia" w:ascii="仿宋_GB2312" w:hAnsi="仿宋_GB2312" w:eastAsia="仿宋_GB2312" w:cs="仿宋_GB2312"/>
                <w:spacing w:val="0"/>
                <w:sz w:val="30"/>
                <w:szCs w:val="30"/>
                <w:highlight w:val="yellow"/>
                <w:lang w:val="en-US" w:eastAsia="zh-CN"/>
              </w:rPr>
            </w:pPr>
            <w:r>
              <w:rPr>
                <w:rFonts w:hint="eastAsia" w:ascii="仿宋_GB2312" w:hAnsi="仿宋_GB2312" w:eastAsia="仿宋_GB2312" w:cs="仿宋_GB2312"/>
                <w:spacing w:val="0"/>
                <w:sz w:val="30"/>
                <w:szCs w:val="30"/>
                <w:highlight w:val="yellow"/>
                <w:lang w:val="en-US" w:eastAsia="zh-CN"/>
              </w:rPr>
              <w:t>2</w:t>
            </w:r>
          </w:p>
        </w:tc>
        <w:tc>
          <w:tcPr>
            <w:tcW w:w="1657"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231" w:right="223"/>
              <w:jc w:val="center"/>
              <w:rPr>
                <w:rFonts w:hint="eastAsia" w:ascii="仿宋_GB2312" w:hAnsi="仿宋_GB2312" w:eastAsia="仿宋_GB2312" w:cs="仿宋_GB2312"/>
                <w:spacing w:val="0"/>
                <w:sz w:val="30"/>
                <w:szCs w:val="30"/>
                <w:highlight w:val="yellow"/>
                <w:lang w:val="en-US" w:eastAsia="zh-CN"/>
              </w:rPr>
            </w:pPr>
            <w:r>
              <w:rPr>
                <w:rFonts w:hint="eastAsia" w:ascii="仿宋_GB2312" w:hAnsi="仿宋_GB2312" w:eastAsia="仿宋_GB2312" w:cs="仿宋_GB2312"/>
                <w:spacing w:val="0"/>
                <w:sz w:val="30"/>
                <w:szCs w:val="30"/>
                <w:highlight w:val="yellow"/>
                <w:lang w:val="en-US" w:eastAsia="zh-CN"/>
              </w:rPr>
              <w:t>1.6</w:t>
            </w:r>
          </w:p>
        </w:tc>
        <w:tc>
          <w:tcPr>
            <w:tcW w:w="141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231" w:right="223"/>
              <w:jc w:val="center"/>
              <w:rPr>
                <w:rFonts w:hint="eastAsia" w:ascii="仿宋_GB2312" w:hAnsi="仿宋_GB2312" w:eastAsia="仿宋_GB2312" w:cs="仿宋_GB2312"/>
                <w:spacing w:val="0"/>
                <w:sz w:val="30"/>
                <w:szCs w:val="30"/>
                <w:lang w:eastAsia="zh-CN"/>
              </w:rPr>
            </w:pPr>
            <w:r>
              <w:rPr>
                <w:rFonts w:hint="eastAsia" w:ascii="仿宋_GB2312" w:hAnsi="仿宋_GB2312" w:eastAsia="仿宋_GB2312" w:cs="仿宋_GB2312"/>
                <w:spacing w:val="0"/>
                <w:sz w:val="30"/>
                <w:szCs w:val="30"/>
                <w:lang w:eastAsia="zh-CN"/>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9140" w:type="dxa"/>
            <w:gridSpan w:val="7"/>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07"/>
              <w:jc w:val="left"/>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四、绿色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53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16" w:right="108"/>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12</w:t>
            </w:r>
          </w:p>
        </w:tc>
        <w:tc>
          <w:tcPr>
            <w:tcW w:w="240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细颗粒物浓度</w:t>
            </w:r>
          </w:p>
        </w:tc>
        <w:tc>
          <w:tcPr>
            <w:tcW w:w="81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0" w:right="120"/>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μg/m</w:t>
            </w:r>
            <w:r>
              <w:rPr>
                <w:rFonts w:hint="eastAsia" w:ascii="仿宋_GB2312" w:hAnsi="仿宋_GB2312" w:eastAsia="仿宋_GB2312" w:cs="仿宋_GB2312"/>
                <w:spacing w:val="0"/>
                <w:sz w:val="30"/>
                <w:szCs w:val="30"/>
                <w:vertAlign w:val="superscript"/>
              </w:rPr>
              <w:t>3</w:t>
            </w:r>
          </w:p>
        </w:tc>
        <w:tc>
          <w:tcPr>
            <w:tcW w:w="1047"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15" w:right="107"/>
              <w:jc w:val="center"/>
              <w:rPr>
                <w:rFonts w:hint="eastAsia" w:ascii="仿宋_GB2312" w:hAnsi="仿宋_GB2312" w:eastAsia="仿宋_GB2312" w:cs="仿宋_GB2312"/>
                <w:spacing w:val="0"/>
                <w:sz w:val="30"/>
                <w:szCs w:val="30"/>
                <w:lang w:val="en-US" w:eastAsia="zh-CN"/>
              </w:rPr>
            </w:pPr>
            <w:r>
              <w:rPr>
                <w:rFonts w:hint="eastAsia" w:ascii="仿宋_GB2312" w:hAnsi="仿宋_GB2312" w:eastAsia="仿宋_GB2312" w:cs="仿宋_GB2312"/>
                <w:spacing w:val="0"/>
                <w:sz w:val="30"/>
                <w:szCs w:val="30"/>
                <w:lang w:val="en-US" w:eastAsia="zh-CN"/>
              </w:rPr>
              <w:t>43</w:t>
            </w:r>
          </w:p>
        </w:tc>
        <w:tc>
          <w:tcPr>
            <w:tcW w:w="1286"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32" w:right="121"/>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lang w:eastAsia="zh-CN"/>
              </w:rPr>
              <w:t>完成上级考核任务</w:t>
            </w:r>
          </w:p>
        </w:tc>
        <w:tc>
          <w:tcPr>
            <w:tcW w:w="1657"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231" w:right="220"/>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lang w:eastAsia="zh-CN"/>
              </w:rPr>
              <w:t>保持稳定或持续改善</w:t>
            </w:r>
          </w:p>
        </w:tc>
        <w:tc>
          <w:tcPr>
            <w:tcW w:w="141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231" w:right="220"/>
              <w:jc w:val="center"/>
              <w:rPr>
                <w:rFonts w:hint="eastAsia" w:ascii="仿宋_GB2312" w:hAnsi="仿宋_GB2312" w:eastAsia="仿宋_GB2312" w:cs="仿宋_GB2312"/>
                <w:spacing w:val="0"/>
                <w:sz w:val="30"/>
                <w:szCs w:val="30"/>
                <w:lang w:eastAsia="zh-CN"/>
              </w:rPr>
            </w:pPr>
            <w:r>
              <w:rPr>
                <w:rFonts w:hint="eastAsia" w:ascii="仿宋_GB2312" w:hAnsi="仿宋_GB2312" w:eastAsia="仿宋_GB2312" w:cs="仿宋_GB2312"/>
                <w:spacing w:val="0"/>
                <w:sz w:val="30"/>
                <w:szCs w:val="30"/>
                <w:lang w:eastAsia="zh-CN"/>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53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16" w:right="108"/>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13</w:t>
            </w:r>
          </w:p>
        </w:tc>
        <w:tc>
          <w:tcPr>
            <w:tcW w:w="240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空气优良天数比率</w:t>
            </w:r>
          </w:p>
        </w:tc>
        <w:tc>
          <w:tcPr>
            <w:tcW w:w="81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7"/>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w w:val="100"/>
                <w:sz w:val="30"/>
                <w:szCs w:val="30"/>
              </w:rPr>
              <w:t>%</w:t>
            </w:r>
          </w:p>
        </w:tc>
        <w:tc>
          <w:tcPr>
            <w:tcW w:w="1047"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15" w:right="107"/>
              <w:jc w:val="center"/>
              <w:rPr>
                <w:rFonts w:hint="eastAsia" w:ascii="仿宋_GB2312" w:hAnsi="仿宋_GB2312" w:eastAsia="仿宋_GB2312" w:cs="仿宋_GB2312"/>
                <w:spacing w:val="0"/>
                <w:sz w:val="30"/>
                <w:szCs w:val="30"/>
                <w:lang w:val="en-US" w:eastAsia="zh-CN"/>
              </w:rPr>
            </w:pPr>
            <w:r>
              <w:rPr>
                <w:rFonts w:hint="eastAsia" w:ascii="仿宋_GB2312" w:hAnsi="仿宋_GB2312" w:eastAsia="仿宋_GB2312" w:cs="仿宋_GB2312"/>
                <w:spacing w:val="0"/>
                <w:sz w:val="30"/>
                <w:szCs w:val="30"/>
                <w:lang w:val="en-US" w:eastAsia="zh-CN"/>
              </w:rPr>
              <w:t>76.2</w:t>
            </w:r>
          </w:p>
        </w:tc>
        <w:tc>
          <w:tcPr>
            <w:tcW w:w="1286"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32" w:right="121"/>
              <w:jc w:val="center"/>
              <w:rPr>
                <w:rFonts w:hint="eastAsia" w:ascii="仿宋_GB2312" w:hAnsi="仿宋_GB2312" w:eastAsia="仿宋_GB2312" w:cs="仿宋_GB2312"/>
                <w:spacing w:val="0"/>
                <w:sz w:val="30"/>
                <w:szCs w:val="30"/>
                <w:lang w:eastAsia="zh-CN"/>
              </w:rPr>
            </w:pPr>
            <w:r>
              <w:rPr>
                <w:rFonts w:hint="eastAsia" w:ascii="仿宋_GB2312" w:hAnsi="仿宋_GB2312" w:eastAsia="仿宋_GB2312" w:cs="仿宋_GB2312"/>
                <w:spacing w:val="0"/>
                <w:sz w:val="30"/>
                <w:szCs w:val="30"/>
                <w:lang w:eastAsia="zh-CN"/>
              </w:rPr>
              <w:t>完成上级考核任务</w:t>
            </w:r>
          </w:p>
        </w:tc>
        <w:tc>
          <w:tcPr>
            <w:tcW w:w="1657"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231" w:right="220"/>
              <w:jc w:val="center"/>
              <w:rPr>
                <w:rFonts w:hint="eastAsia" w:ascii="仿宋_GB2312" w:hAnsi="仿宋_GB2312" w:eastAsia="仿宋_GB2312" w:cs="仿宋_GB2312"/>
                <w:spacing w:val="0"/>
                <w:sz w:val="30"/>
                <w:szCs w:val="30"/>
                <w:lang w:eastAsia="zh-CN"/>
              </w:rPr>
            </w:pPr>
            <w:r>
              <w:rPr>
                <w:rFonts w:hint="eastAsia" w:ascii="仿宋_GB2312" w:hAnsi="仿宋_GB2312" w:eastAsia="仿宋_GB2312" w:cs="仿宋_GB2312"/>
                <w:spacing w:val="0"/>
                <w:sz w:val="30"/>
                <w:szCs w:val="30"/>
                <w:lang w:eastAsia="zh-CN"/>
              </w:rPr>
              <w:t>保持稳定或持续改善</w:t>
            </w:r>
          </w:p>
        </w:tc>
        <w:tc>
          <w:tcPr>
            <w:tcW w:w="141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231" w:right="220"/>
              <w:jc w:val="center"/>
              <w:rPr>
                <w:rFonts w:hint="eastAsia" w:ascii="仿宋_GB2312" w:hAnsi="仿宋_GB2312" w:eastAsia="仿宋_GB2312" w:cs="仿宋_GB2312"/>
                <w:spacing w:val="0"/>
                <w:sz w:val="30"/>
                <w:szCs w:val="30"/>
                <w:lang w:eastAsia="zh-CN"/>
              </w:rPr>
            </w:pPr>
            <w:r>
              <w:rPr>
                <w:rFonts w:hint="eastAsia" w:ascii="仿宋_GB2312" w:hAnsi="仿宋_GB2312" w:eastAsia="仿宋_GB2312" w:cs="仿宋_GB2312"/>
                <w:spacing w:val="0"/>
                <w:sz w:val="30"/>
                <w:szCs w:val="30"/>
                <w:lang w:eastAsia="zh-CN"/>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530" w:type="dxa"/>
            <w:noWrap w:val="0"/>
            <w:vAlign w:val="center"/>
          </w:tcPr>
          <w:p>
            <w:pPr>
              <w:pStyle w:val="11"/>
              <w:keepNext w:val="0"/>
              <w:keepLines w:val="0"/>
              <w:pageBreakBefore w:val="0"/>
              <w:kinsoku/>
              <w:wordWrap/>
              <w:overflowPunct/>
              <w:topLinePunct w:val="0"/>
              <w:autoSpaceDE/>
              <w:autoSpaceDN/>
              <w:bidi w:val="0"/>
              <w:adjustRightInd/>
              <w:snapToGrid/>
              <w:spacing w:before="153" w:afterAutospacing="0" w:line="580" w:lineRule="exact"/>
              <w:ind w:left="116" w:right="108"/>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14</w:t>
            </w:r>
          </w:p>
        </w:tc>
        <w:tc>
          <w:tcPr>
            <w:tcW w:w="240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right="95"/>
              <w:jc w:val="left"/>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单位生产总值能耗下降</w:t>
            </w:r>
          </w:p>
        </w:tc>
        <w:tc>
          <w:tcPr>
            <w:tcW w:w="810" w:type="dxa"/>
            <w:noWrap w:val="0"/>
            <w:vAlign w:val="center"/>
          </w:tcPr>
          <w:p>
            <w:pPr>
              <w:pStyle w:val="11"/>
              <w:keepNext w:val="0"/>
              <w:keepLines w:val="0"/>
              <w:pageBreakBefore w:val="0"/>
              <w:kinsoku/>
              <w:wordWrap/>
              <w:overflowPunct/>
              <w:topLinePunct w:val="0"/>
              <w:autoSpaceDE/>
              <w:autoSpaceDN/>
              <w:bidi w:val="0"/>
              <w:adjustRightInd/>
              <w:snapToGrid/>
              <w:spacing w:before="153" w:afterAutospacing="0" w:line="580" w:lineRule="exact"/>
              <w:ind w:left="7"/>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w w:val="100"/>
                <w:sz w:val="30"/>
                <w:szCs w:val="30"/>
              </w:rPr>
              <w:t>%</w:t>
            </w:r>
          </w:p>
        </w:tc>
        <w:tc>
          <w:tcPr>
            <w:tcW w:w="1047" w:type="dxa"/>
            <w:noWrap w:val="0"/>
            <w:vAlign w:val="center"/>
          </w:tcPr>
          <w:p>
            <w:pPr>
              <w:pStyle w:val="11"/>
              <w:keepNext w:val="0"/>
              <w:keepLines w:val="0"/>
              <w:pageBreakBefore w:val="0"/>
              <w:kinsoku/>
              <w:wordWrap/>
              <w:overflowPunct/>
              <w:topLinePunct w:val="0"/>
              <w:autoSpaceDE/>
              <w:autoSpaceDN/>
              <w:bidi w:val="0"/>
              <w:adjustRightInd/>
              <w:snapToGrid/>
              <w:spacing w:before="153" w:afterAutospacing="0" w:line="580" w:lineRule="exact"/>
              <w:ind w:left="12"/>
              <w:jc w:val="center"/>
              <w:rPr>
                <w:rFonts w:hint="eastAsia" w:ascii="仿宋_GB2312" w:hAnsi="仿宋_GB2312" w:eastAsia="仿宋_GB2312" w:cs="仿宋_GB2312"/>
                <w:spacing w:val="0"/>
                <w:sz w:val="30"/>
                <w:szCs w:val="30"/>
                <w:lang w:val="en-US"/>
              </w:rPr>
            </w:pPr>
            <w:r>
              <w:rPr>
                <w:rFonts w:hint="eastAsia" w:ascii="仿宋_GB2312" w:hAnsi="仿宋_GB2312" w:eastAsia="仿宋_GB2312" w:cs="仿宋_GB2312"/>
                <w:spacing w:val="0"/>
                <w:sz w:val="30"/>
                <w:szCs w:val="30"/>
                <w:lang w:val="en-US"/>
              </w:rPr>
              <w:t>5.78</w:t>
            </w:r>
          </w:p>
        </w:tc>
        <w:tc>
          <w:tcPr>
            <w:tcW w:w="1286" w:type="dxa"/>
            <w:noWrap w:val="0"/>
            <w:vAlign w:val="center"/>
          </w:tcPr>
          <w:p>
            <w:pPr>
              <w:pStyle w:val="11"/>
              <w:keepNext w:val="0"/>
              <w:keepLines w:val="0"/>
              <w:pageBreakBefore w:val="0"/>
              <w:kinsoku/>
              <w:wordWrap/>
              <w:overflowPunct/>
              <w:topLinePunct w:val="0"/>
              <w:autoSpaceDE/>
              <w:autoSpaceDN/>
              <w:bidi w:val="0"/>
              <w:adjustRightInd/>
              <w:snapToGrid/>
              <w:spacing w:before="135" w:afterAutospacing="0" w:line="580" w:lineRule="exact"/>
              <w:ind w:right="124"/>
              <w:jc w:val="both"/>
              <w:rPr>
                <w:rFonts w:hint="eastAsia" w:ascii="仿宋_GB2312" w:hAnsi="仿宋_GB2312" w:eastAsia="仿宋_GB2312" w:cs="仿宋_GB2312"/>
                <w:spacing w:val="0"/>
                <w:sz w:val="30"/>
                <w:szCs w:val="30"/>
                <w:lang w:val="en-US" w:eastAsia="zh-CN"/>
              </w:rPr>
            </w:pPr>
            <w:r>
              <w:rPr>
                <w:rFonts w:hint="eastAsia" w:ascii="仿宋_GB2312" w:hAnsi="仿宋_GB2312" w:eastAsia="仿宋_GB2312" w:cs="仿宋_GB2312"/>
                <w:spacing w:val="0"/>
                <w:sz w:val="30"/>
                <w:szCs w:val="30"/>
                <w:lang w:val="en-US" w:eastAsia="zh-CN"/>
              </w:rPr>
              <w:t>按省下达目标</w:t>
            </w:r>
          </w:p>
        </w:tc>
        <w:tc>
          <w:tcPr>
            <w:tcW w:w="1657" w:type="dxa"/>
            <w:noWrap w:val="0"/>
            <w:vAlign w:val="center"/>
          </w:tcPr>
          <w:p>
            <w:pPr>
              <w:pStyle w:val="11"/>
              <w:keepNext w:val="0"/>
              <w:keepLines w:val="0"/>
              <w:pageBreakBefore w:val="0"/>
              <w:kinsoku/>
              <w:wordWrap/>
              <w:overflowPunct/>
              <w:topLinePunct w:val="0"/>
              <w:autoSpaceDE/>
              <w:autoSpaceDN/>
              <w:bidi w:val="0"/>
              <w:adjustRightInd/>
              <w:snapToGrid/>
              <w:spacing w:before="135" w:afterAutospacing="0" w:line="580" w:lineRule="exact"/>
              <w:ind w:left="231" w:right="224"/>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lang w:val="en-US" w:eastAsia="zh-CN"/>
              </w:rPr>
              <w:t>按省下达目标</w:t>
            </w:r>
          </w:p>
        </w:tc>
        <w:tc>
          <w:tcPr>
            <w:tcW w:w="1410" w:type="dxa"/>
            <w:noWrap w:val="0"/>
            <w:vAlign w:val="center"/>
          </w:tcPr>
          <w:p>
            <w:pPr>
              <w:pStyle w:val="11"/>
              <w:keepNext w:val="0"/>
              <w:keepLines w:val="0"/>
              <w:pageBreakBefore w:val="0"/>
              <w:kinsoku/>
              <w:wordWrap/>
              <w:overflowPunct/>
              <w:topLinePunct w:val="0"/>
              <w:autoSpaceDE/>
              <w:autoSpaceDN/>
              <w:bidi w:val="0"/>
              <w:adjustRightInd/>
              <w:snapToGrid/>
              <w:spacing w:before="135" w:afterAutospacing="0" w:line="580" w:lineRule="exact"/>
              <w:ind w:left="231" w:right="224"/>
              <w:jc w:val="center"/>
              <w:rPr>
                <w:rFonts w:hint="eastAsia" w:ascii="仿宋_GB2312" w:hAnsi="仿宋_GB2312" w:eastAsia="仿宋_GB2312" w:cs="仿宋_GB2312"/>
                <w:spacing w:val="0"/>
                <w:sz w:val="30"/>
                <w:szCs w:val="30"/>
                <w:lang w:eastAsia="zh-CN"/>
              </w:rPr>
            </w:pPr>
            <w:r>
              <w:rPr>
                <w:rFonts w:hint="eastAsia" w:ascii="仿宋_GB2312" w:hAnsi="仿宋_GB2312" w:eastAsia="仿宋_GB2312" w:cs="仿宋_GB2312"/>
                <w:spacing w:val="0"/>
                <w:sz w:val="30"/>
                <w:szCs w:val="30"/>
                <w:lang w:eastAsia="zh-CN"/>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9140" w:type="dxa"/>
            <w:gridSpan w:val="7"/>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07"/>
              <w:jc w:val="left"/>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五、开放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53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16" w:right="108"/>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15</w:t>
            </w:r>
          </w:p>
        </w:tc>
        <w:tc>
          <w:tcPr>
            <w:tcW w:w="240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进出口总额</w:t>
            </w:r>
          </w:p>
        </w:tc>
        <w:tc>
          <w:tcPr>
            <w:tcW w:w="81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0" w:right="176"/>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亿元</w:t>
            </w:r>
          </w:p>
        </w:tc>
        <w:tc>
          <w:tcPr>
            <w:tcW w:w="1047"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15" w:right="107"/>
              <w:jc w:val="center"/>
              <w:rPr>
                <w:rFonts w:hint="eastAsia" w:ascii="仿宋_GB2312" w:hAnsi="仿宋_GB2312" w:eastAsia="仿宋_GB2312" w:cs="仿宋_GB2312"/>
                <w:spacing w:val="0"/>
                <w:sz w:val="30"/>
                <w:szCs w:val="30"/>
                <w:lang w:val="en-US" w:eastAsia="zh-CN"/>
              </w:rPr>
            </w:pPr>
            <w:r>
              <w:rPr>
                <w:rFonts w:hint="eastAsia" w:ascii="仿宋_GB2312" w:hAnsi="仿宋_GB2312" w:eastAsia="仿宋_GB2312" w:cs="仿宋_GB2312"/>
                <w:spacing w:val="0"/>
                <w:sz w:val="30"/>
                <w:szCs w:val="30"/>
                <w:lang w:val="en-US" w:eastAsia="zh-CN"/>
              </w:rPr>
              <w:t>99.6</w:t>
            </w:r>
          </w:p>
        </w:tc>
        <w:tc>
          <w:tcPr>
            <w:tcW w:w="1286"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32" w:right="121"/>
              <w:jc w:val="center"/>
              <w:rPr>
                <w:rFonts w:hint="eastAsia" w:ascii="仿宋_GB2312" w:hAnsi="仿宋_GB2312" w:eastAsia="仿宋_GB2312" w:cs="仿宋_GB2312"/>
                <w:spacing w:val="0"/>
                <w:sz w:val="30"/>
                <w:szCs w:val="30"/>
                <w:lang w:val="en-US" w:eastAsia="zh-CN"/>
              </w:rPr>
            </w:pPr>
            <w:r>
              <w:rPr>
                <w:rFonts w:hint="eastAsia" w:ascii="仿宋_GB2312" w:hAnsi="仿宋_GB2312" w:eastAsia="仿宋_GB2312" w:cs="仿宋_GB2312"/>
                <w:spacing w:val="0"/>
                <w:sz w:val="30"/>
                <w:szCs w:val="30"/>
                <w:lang w:val="en-US" w:eastAsia="zh-CN"/>
              </w:rPr>
              <w:t>106</w:t>
            </w:r>
          </w:p>
        </w:tc>
        <w:tc>
          <w:tcPr>
            <w:tcW w:w="1657"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231" w:right="220"/>
              <w:jc w:val="center"/>
              <w:rPr>
                <w:rFonts w:hint="eastAsia" w:ascii="仿宋_GB2312" w:hAnsi="仿宋_GB2312" w:eastAsia="仿宋_GB2312" w:cs="仿宋_GB2312"/>
                <w:spacing w:val="0"/>
                <w:sz w:val="30"/>
                <w:szCs w:val="30"/>
                <w:lang w:val="en-US" w:eastAsia="zh-CN"/>
              </w:rPr>
            </w:pPr>
            <w:r>
              <w:rPr>
                <w:rFonts w:hint="eastAsia" w:ascii="仿宋_GB2312" w:hAnsi="仿宋_GB2312" w:eastAsia="仿宋_GB2312" w:cs="仿宋_GB2312"/>
                <w:spacing w:val="0"/>
                <w:sz w:val="30"/>
                <w:szCs w:val="30"/>
                <w:lang w:val="en-US" w:eastAsia="zh-CN"/>
              </w:rPr>
              <w:t>160</w:t>
            </w:r>
          </w:p>
        </w:tc>
        <w:tc>
          <w:tcPr>
            <w:tcW w:w="141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231" w:right="220"/>
              <w:jc w:val="center"/>
              <w:rPr>
                <w:rFonts w:hint="eastAsia" w:ascii="仿宋_GB2312" w:hAnsi="仿宋_GB2312" w:eastAsia="仿宋_GB2312" w:cs="仿宋_GB2312"/>
                <w:spacing w:val="0"/>
                <w:sz w:val="30"/>
                <w:szCs w:val="30"/>
                <w:lang w:eastAsia="zh-CN"/>
              </w:rPr>
            </w:pPr>
            <w:r>
              <w:rPr>
                <w:rFonts w:hint="eastAsia" w:ascii="仿宋_GB2312" w:hAnsi="仿宋_GB2312" w:eastAsia="仿宋_GB2312" w:cs="仿宋_GB2312"/>
                <w:spacing w:val="0"/>
                <w:sz w:val="30"/>
                <w:szCs w:val="30"/>
                <w:lang w:eastAsia="zh-CN"/>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trPr>
        <w:tc>
          <w:tcPr>
            <w:tcW w:w="530" w:type="dxa"/>
            <w:noWrap w:val="0"/>
            <w:vAlign w:val="center"/>
          </w:tcPr>
          <w:p>
            <w:pPr>
              <w:pStyle w:val="11"/>
              <w:keepNext w:val="0"/>
              <w:keepLines w:val="0"/>
              <w:pageBreakBefore w:val="0"/>
              <w:kinsoku/>
              <w:wordWrap/>
              <w:overflowPunct/>
              <w:topLinePunct w:val="0"/>
              <w:autoSpaceDE/>
              <w:autoSpaceDN/>
              <w:bidi w:val="0"/>
              <w:adjustRightInd/>
              <w:snapToGrid/>
              <w:spacing w:before="154" w:afterAutospacing="0" w:line="580" w:lineRule="exact"/>
              <w:ind w:left="116" w:right="108"/>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16</w:t>
            </w:r>
          </w:p>
        </w:tc>
        <w:tc>
          <w:tcPr>
            <w:tcW w:w="240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right="95"/>
              <w:jc w:val="left"/>
              <w:rPr>
                <w:rFonts w:hint="eastAsia" w:ascii="仿宋_GB2312" w:hAnsi="仿宋_GB2312" w:eastAsia="仿宋_GB2312" w:cs="仿宋_GB2312"/>
                <w:spacing w:val="0"/>
                <w:sz w:val="30"/>
                <w:szCs w:val="30"/>
                <w:lang w:val="en-US"/>
              </w:rPr>
            </w:pPr>
            <w:r>
              <w:rPr>
                <w:rFonts w:hint="eastAsia" w:ascii="仿宋_GB2312" w:hAnsi="仿宋_GB2312" w:eastAsia="仿宋_GB2312" w:cs="仿宋_GB2312"/>
                <w:spacing w:val="0"/>
                <w:sz w:val="30"/>
                <w:szCs w:val="30"/>
                <w:lang w:val="en-US"/>
              </w:rPr>
              <w:t>旅游产业增加值占GDP比重</w:t>
            </w:r>
          </w:p>
        </w:tc>
        <w:tc>
          <w:tcPr>
            <w:tcW w:w="810" w:type="dxa"/>
            <w:noWrap w:val="0"/>
            <w:vAlign w:val="center"/>
          </w:tcPr>
          <w:p>
            <w:pPr>
              <w:pStyle w:val="11"/>
              <w:keepNext w:val="0"/>
              <w:keepLines w:val="0"/>
              <w:pageBreakBefore w:val="0"/>
              <w:kinsoku/>
              <w:wordWrap/>
              <w:overflowPunct/>
              <w:topLinePunct w:val="0"/>
              <w:autoSpaceDE/>
              <w:autoSpaceDN/>
              <w:bidi w:val="0"/>
              <w:adjustRightInd/>
              <w:snapToGrid/>
              <w:spacing w:before="154" w:afterAutospacing="0" w:line="580" w:lineRule="exact"/>
              <w:ind w:left="7"/>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w w:val="100"/>
                <w:sz w:val="30"/>
                <w:szCs w:val="30"/>
              </w:rPr>
              <w:t>%</w:t>
            </w:r>
          </w:p>
        </w:tc>
        <w:tc>
          <w:tcPr>
            <w:tcW w:w="1047" w:type="dxa"/>
            <w:noWrap w:val="0"/>
            <w:vAlign w:val="center"/>
          </w:tcPr>
          <w:p>
            <w:pPr>
              <w:pStyle w:val="11"/>
              <w:keepNext w:val="0"/>
              <w:keepLines w:val="0"/>
              <w:pageBreakBefore w:val="0"/>
              <w:kinsoku/>
              <w:wordWrap/>
              <w:overflowPunct/>
              <w:topLinePunct w:val="0"/>
              <w:autoSpaceDE/>
              <w:autoSpaceDN/>
              <w:bidi w:val="0"/>
              <w:adjustRightInd/>
              <w:snapToGrid/>
              <w:spacing w:before="154" w:afterAutospacing="0" w:line="580" w:lineRule="exact"/>
              <w:ind w:left="115" w:right="104"/>
              <w:jc w:val="center"/>
              <w:rPr>
                <w:rFonts w:hint="eastAsia" w:ascii="仿宋_GB2312" w:hAnsi="仿宋_GB2312" w:eastAsia="仿宋_GB2312" w:cs="仿宋_GB2312"/>
                <w:spacing w:val="0"/>
                <w:sz w:val="30"/>
                <w:szCs w:val="30"/>
                <w:lang w:val="en-US" w:eastAsia="zh-CN"/>
              </w:rPr>
            </w:pPr>
            <w:r>
              <w:rPr>
                <w:rFonts w:hint="eastAsia" w:ascii="仿宋_GB2312" w:hAnsi="仿宋_GB2312" w:eastAsia="仿宋_GB2312" w:cs="仿宋_GB2312"/>
                <w:spacing w:val="0"/>
                <w:sz w:val="30"/>
                <w:szCs w:val="30"/>
                <w:lang w:val="en-US" w:eastAsia="zh-CN"/>
              </w:rPr>
              <w:t>9.1</w:t>
            </w:r>
          </w:p>
        </w:tc>
        <w:tc>
          <w:tcPr>
            <w:tcW w:w="1286" w:type="dxa"/>
            <w:noWrap w:val="0"/>
            <w:vAlign w:val="center"/>
          </w:tcPr>
          <w:p>
            <w:pPr>
              <w:pStyle w:val="11"/>
              <w:keepNext w:val="0"/>
              <w:keepLines w:val="0"/>
              <w:pageBreakBefore w:val="0"/>
              <w:kinsoku/>
              <w:wordWrap/>
              <w:overflowPunct/>
              <w:topLinePunct w:val="0"/>
              <w:autoSpaceDE/>
              <w:autoSpaceDN/>
              <w:bidi w:val="0"/>
              <w:adjustRightInd/>
              <w:snapToGrid/>
              <w:spacing w:before="154" w:afterAutospacing="0" w:line="580" w:lineRule="exact"/>
              <w:ind w:left="132" w:right="123"/>
              <w:jc w:val="center"/>
              <w:rPr>
                <w:rFonts w:hint="eastAsia" w:ascii="仿宋_GB2312" w:hAnsi="仿宋_GB2312" w:eastAsia="仿宋_GB2312" w:cs="仿宋_GB2312"/>
                <w:spacing w:val="0"/>
                <w:sz w:val="30"/>
                <w:szCs w:val="30"/>
                <w:lang w:val="en-US" w:eastAsia="zh-CN"/>
              </w:rPr>
            </w:pPr>
            <w:r>
              <w:rPr>
                <w:rFonts w:hint="eastAsia" w:ascii="仿宋_GB2312" w:hAnsi="仿宋_GB2312" w:eastAsia="仿宋_GB2312" w:cs="仿宋_GB2312"/>
                <w:spacing w:val="0"/>
                <w:sz w:val="30"/>
                <w:szCs w:val="30"/>
                <w:lang w:val="en-US" w:eastAsia="zh-CN"/>
              </w:rPr>
              <w:t>12</w:t>
            </w:r>
          </w:p>
        </w:tc>
        <w:tc>
          <w:tcPr>
            <w:tcW w:w="1657" w:type="dxa"/>
            <w:noWrap w:val="0"/>
            <w:vAlign w:val="center"/>
          </w:tcPr>
          <w:p>
            <w:pPr>
              <w:pStyle w:val="11"/>
              <w:keepNext w:val="0"/>
              <w:keepLines w:val="0"/>
              <w:pageBreakBefore w:val="0"/>
              <w:kinsoku/>
              <w:wordWrap/>
              <w:overflowPunct/>
              <w:topLinePunct w:val="0"/>
              <w:autoSpaceDE/>
              <w:autoSpaceDN/>
              <w:bidi w:val="0"/>
              <w:adjustRightInd/>
              <w:snapToGrid/>
              <w:spacing w:before="154" w:afterAutospacing="0" w:line="580" w:lineRule="exact"/>
              <w:ind w:left="8"/>
              <w:jc w:val="center"/>
              <w:rPr>
                <w:rFonts w:hint="eastAsia" w:ascii="仿宋_GB2312" w:hAnsi="仿宋_GB2312" w:eastAsia="仿宋_GB2312" w:cs="仿宋_GB2312"/>
                <w:spacing w:val="0"/>
                <w:sz w:val="30"/>
                <w:szCs w:val="30"/>
                <w:lang w:val="en-US" w:eastAsia="zh-CN"/>
              </w:rPr>
            </w:pPr>
            <w:r>
              <w:rPr>
                <w:rFonts w:hint="eastAsia" w:ascii="仿宋_GB2312" w:hAnsi="仿宋_GB2312" w:eastAsia="仿宋_GB2312" w:cs="仿宋_GB2312"/>
                <w:spacing w:val="0"/>
                <w:sz w:val="30"/>
                <w:szCs w:val="30"/>
                <w:lang w:val="en-US" w:eastAsia="zh-CN"/>
              </w:rPr>
              <w:t>15</w:t>
            </w:r>
          </w:p>
        </w:tc>
        <w:tc>
          <w:tcPr>
            <w:tcW w:w="1410" w:type="dxa"/>
            <w:noWrap w:val="0"/>
            <w:vAlign w:val="center"/>
          </w:tcPr>
          <w:p>
            <w:pPr>
              <w:pStyle w:val="11"/>
              <w:keepNext w:val="0"/>
              <w:keepLines w:val="0"/>
              <w:pageBreakBefore w:val="0"/>
              <w:kinsoku/>
              <w:wordWrap/>
              <w:overflowPunct/>
              <w:topLinePunct w:val="0"/>
              <w:autoSpaceDE/>
              <w:autoSpaceDN/>
              <w:bidi w:val="0"/>
              <w:adjustRightInd/>
              <w:snapToGrid/>
              <w:spacing w:before="154" w:afterAutospacing="0" w:line="580" w:lineRule="exact"/>
              <w:ind w:left="8"/>
              <w:jc w:val="center"/>
              <w:rPr>
                <w:rFonts w:hint="eastAsia" w:ascii="仿宋_GB2312" w:hAnsi="仿宋_GB2312" w:eastAsia="仿宋_GB2312" w:cs="仿宋_GB2312"/>
                <w:spacing w:val="0"/>
                <w:w w:val="100"/>
                <w:sz w:val="30"/>
                <w:szCs w:val="30"/>
                <w:lang w:eastAsia="zh-CN"/>
              </w:rPr>
            </w:pPr>
            <w:r>
              <w:rPr>
                <w:rFonts w:hint="eastAsia" w:ascii="仿宋_GB2312" w:hAnsi="仿宋_GB2312" w:eastAsia="仿宋_GB2312" w:cs="仿宋_GB2312"/>
                <w:spacing w:val="0"/>
                <w:w w:val="100"/>
                <w:sz w:val="30"/>
                <w:szCs w:val="30"/>
                <w:lang w:eastAsia="zh-CN"/>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9140" w:type="dxa"/>
            <w:gridSpan w:val="7"/>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07"/>
              <w:jc w:val="left"/>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六、共享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5" w:hRule="atLeast"/>
        </w:trPr>
        <w:tc>
          <w:tcPr>
            <w:tcW w:w="530" w:type="dxa"/>
            <w:noWrap w:val="0"/>
            <w:vAlign w:val="center"/>
          </w:tcPr>
          <w:p>
            <w:pPr>
              <w:pStyle w:val="11"/>
              <w:keepNext w:val="0"/>
              <w:keepLines w:val="0"/>
              <w:pageBreakBefore w:val="0"/>
              <w:kinsoku/>
              <w:wordWrap/>
              <w:overflowPunct/>
              <w:topLinePunct w:val="0"/>
              <w:autoSpaceDE/>
              <w:autoSpaceDN/>
              <w:bidi w:val="0"/>
              <w:adjustRightInd/>
              <w:snapToGrid/>
              <w:spacing w:before="155" w:afterAutospacing="0" w:line="580" w:lineRule="exact"/>
              <w:ind w:left="116" w:right="108"/>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17</w:t>
            </w:r>
          </w:p>
        </w:tc>
        <w:tc>
          <w:tcPr>
            <w:tcW w:w="240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right="95"/>
              <w:jc w:val="left"/>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居民人均可支配收入</w:t>
            </w:r>
          </w:p>
        </w:tc>
        <w:tc>
          <w:tcPr>
            <w:tcW w:w="810" w:type="dxa"/>
            <w:noWrap w:val="0"/>
            <w:vAlign w:val="center"/>
          </w:tcPr>
          <w:p>
            <w:pPr>
              <w:pStyle w:val="11"/>
              <w:keepNext w:val="0"/>
              <w:keepLines w:val="0"/>
              <w:pageBreakBefore w:val="0"/>
              <w:kinsoku/>
              <w:wordWrap/>
              <w:overflowPunct/>
              <w:topLinePunct w:val="0"/>
              <w:autoSpaceDE/>
              <w:autoSpaceDN/>
              <w:bidi w:val="0"/>
              <w:adjustRightInd/>
              <w:snapToGrid/>
              <w:spacing w:before="137" w:afterAutospacing="0" w:line="580" w:lineRule="exact"/>
              <w:ind w:left="0" w:right="176"/>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万元</w:t>
            </w:r>
          </w:p>
        </w:tc>
        <w:tc>
          <w:tcPr>
            <w:tcW w:w="1047" w:type="dxa"/>
            <w:noWrap w:val="0"/>
            <w:vAlign w:val="center"/>
          </w:tcPr>
          <w:p>
            <w:pPr>
              <w:pStyle w:val="11"/>
              <w:keepNext w:val="0"/>
              <w:keepLines w:val="0"/>
              <w:pageBreakBefore w:val="0"/>
              <w:kinsoku/>
              <w:wordWrap/>
              <w:overflowPunct/>
              <w:topLinePunct w:val="0"/>
              <w:autoSpaceDE/>
              <w:autoSpaceDN/>
              <w:bidi w:val="0"/>
              <w:adjustRightInd/>
              <w:snapToGrid/>
              <w:spacing w:before="155" w:afterAutospacing="0" w:line="580" w:lineRule="exact"/>
              <w:ind w:left="115" w:right="104"/>
              <w:jc w:val="center"/>
              <w:rPr>
                <w:rFonts w:hint="eastAsia" w:ascii="仿宋_GB2312" w:hAnsi="仿宋_GB2312" w:eastAsia="仿宋_GB2312" w:cs="仿宋_GB2312"/>
                <w:spacing w:val="0"/>
                <w:sz w:val="30"/>
                <w:szCs w:val="30"/>
                <w:lang w:val="en-US" w:eastAsia="zh-CN"/>
              </w:rPr>
            </w:pPr>
            <w:r>
              <w:rPr>
                <w:rFonts w:hint="eastAsia" w:ascii="仿宋_GB2312" w:hAnsi="仿宋_GB2312" w:eastAsia="仿宋_GB2312" w:cs="仿宋_GB2312"/>
                <w:spacing w:val="0"/>
                <w:sz w:val="30"/>
                <w:szCs w:val="30"/>
                <w:lang w:val="en-US" w:eastAsia="zh-CN"/>
              </w:rPr>
              <w:t>2.4</w:t>
            </w:r>
          </w:p>
        </w:tc>
        <w:tc>
          <w:tcPr>
            <w:tcW w:w="1286" w:type="dxa"/>
            <w:noWrap w:val="0"/>
            <w:vAlign w:val="center"/>
          </w:tcPr>
          <w:p>
            <w:pPr>
              <w:pStyle w:val="11"/>
              <w:keepNext w:val="0"/>
              <w:keepLines w:val="0"/>
              <w:pageBreakBefore w:val="0"/>
              <w:kinsoku/>
              <w:wordWrap/>
              <w:overflowPunct/>
              <w:topLinePunct w:val="0"/>
              <w:autoSpaceDE/>
              <w:autoSpaceDN/>
              <w:bidi w:val="0"/>
              <w:adjustRightInd/>
              <w:snapToGrid/>
              <w:spacing w:before="155" w:afterAutospacing="0" w:line="580" w:lineRule="exact"/>
              <w:ind w:left="132" w:right="123"/>
              <w:jc w:val="left"/>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lang w:val="en-US" w:eastAsia="zh-CN"/>
              </w:rPr>
              <w:t>与经济增长基本同步</w:t>
            </w:r>
          </w:p>
        </w:tc>
        <w:tc>
          <w:tcPr>
            <w:tcW w:w="1657"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0" w:leftChars="0" w:right="160" w:firstLine="0" w:firstLineChars="0"/>
              <w:jc w:val="left"/>
              <w:rPr>
                <w:rFonts w:hint="eastAsia" w:ascii="仿宋_GB2312" w:hAnsi="仿宋_GB2312" w:eastAsia="仿宋_GB2312" w:cs="仿宋_GB2312"/>
                <w:spacing w:val="0"/>
                <w:sz w:val="30"/>
                <w:szCs w:val="30"/>
                <w:lang w:val="en-US" w:eastAsia="zh-CN"/>
              </w:rPr>
            </w:pPr>
            <w:r>
              <w:rPr>
                <w:rFonts w:hint="eastAsia" w:ascii="仿宋_GB2312" w:hAnsi="仿宋_GB2312" w:eastAsia="仿宋_GB2312" w:cs="仿宋_GB2312"/>
                <w:spacing w:val="0"/>
                <w:sz w:val="30"/>
                <w:szCs w:val="30"/>
                <w:lang w:val="en-US" w:eastAsia="zh-CN"/>
              </w:rPr>
              <w:t>与经济增长基本同步</w:t>
            </w:r>
          </w:p>
        </w:tc>
        <w:tc>
          <w:tcPr>
            <w:tcW w:w="141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right="160"/>
              <w:jc w:val="center"/>
              <w:rPr>
                <w:rFonts w:hint="eastAsia" w:ascii="仿宋_GB2312" w:hAnsi="仿宋_GB2312" w:eastAsia="仿宋_GB2312" w:cs="仿宋_GB2312"/>
                <w:spacing w:val="0"/>
                <w:sz w:val="30"/>
                <w:szCs w:val="30"/>
                <w:lang w:eastAsia="zh-CN"/>
              </w:rPr>
            </w:pPr>
            <w:r>
              <w:rPr>
                <w:rFonts w:hint="eastAsia" w:ascii="仿宋_GB2312" w:hAnsi="仿宋_GB2312" w:eastAsia="仿宋_GB2312" w:cs="仿宋_GB2312"/>
                <w:spacing w:val="0"/>
                <w:w w:val="100"/>
                <w:sz w:val="30"/>
                <w:szCs w:val="30"/>
                <w:lang w:eastAsia="zh-CN"/>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trPr>
        <w:tc>
          <w:tcPr>
            <w:tcW w:w="53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16" w:right="108"/>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18</w:t>
            </w:r>
          </w:p>
        </w:tc>
        <w:tc>
          <w:tcPr>
            <w:tcW w:w="240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城镇新增就业人数</w:t>
            </w:r>
          </w:p>
        </w:tc>
        <w:tc>
          <w:tcPr>
            <w:tcW w:w="81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0" w:right="176"/>
              <w:jc w:val="center"/>
              <w:rPr>
                <w:rFonts w:hint="eastAsia" w:ascii="仿宋_GB2312" w:hAnsi="仿宋_GB2312" w:eastAsia="仿宋_GB2312" w:cs="仿宋_GB2312"/>
                <w:spacing w:val="0"/>
                <w:sz w:val="30"/>
                <w:szCs w:val="30"/>
              </w:rPr>
            </w:pPr>
            <w:r>
              <w:rPr>
                <w:rFonts w:hint="eastAsia" w:ascii="仿宋_GB2312" w:hAnsi="仿宋_GB2312" w:eastAsia="仿宋_GB2312" w:cs="仿宋_GB2312"/>
                <w:spacing w:val="0"/>
                <w:sz w:val="30"/>
                <w:szCs w:val="30"/>
              </w:rPr>
              <w:t>万人</w:t>
            </w:r>
          </w:p>
        </w:tc>
        <w:tc>
          <w:tcPr>
            <w:tcW w:w="1047"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2"/>
              <w:jc w:val="center"/>
              <w:rPr>
                <w:rFonts w:hint="eastAsia" w:ascii="仿宋_GB2312" w:hAnsi="仿宋_GB2312" w:eastAsia="仿宋_GB2312" w:cs="仿宋_GB2312"/>
                <w:spacing w:val="0"/>
                <w:sz w:val="30"/>
                <w:szCs w:val="30"/>
                <w:highlight w:val="yellow"/>
                <w:lang w:val="en-US" w:eastAsia="zh-CN"/>
              </w:rPr>
            </w:pPr>
            <w:r>
              <w:rPr>
                <w:rFonts w:hint="eastAsia" w:ascii="仿宋_GB2312" w:hAnsi="仿宋_GB2312" w:eastAsia="仿宋_GB2312" w:cs="仿宋_GB2312"/>
                <w:spacing w:val="0"/>
                <w:sz w:val="30"/>
                <w:szCs w:val="30"/>
                <w:highlight w:val="yellow"/>
                <w:lang w:val="en-US" w:eastAsia="zh-CN"/>
              </w:rPr>
              <w:t>7.07</w:t>
            </w:r>
          </w:p>
        </w:tc>
        <w:tc>
          <w:tcPr>
            <w:tcW w:w="1286"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132" w:right="122"/>
              <w:jc w:val="center"/>
              <w:rPr>
                <w:rFonts w:hint="eastAsia" w:ascii="仿宋_GB2312" w:hAnsi="仿宋_GB2312" w:eastAsia="仿宋_GB2312" w:cs="仿宋_GB2312"/>
                <w:spacing w:val="0"/>
                <w:sz w:val="30"/>
                <w:szCs w:val="30"/>
                <w:highlight w:val="yellow"/>
                <w:lang w:val="en-US" w:eastAsia="zh-CN"/>
              </w:rPr>
            </w:pPr>
            <w:r>
              <w:rPr>
                <w:rFonts w:hint="eastAsia" w:ascii="仿宋_GB2312" w:hAnsi="仿宋_GB2312" w:eastAsia="仿宋_GB2312" w:cs="仿宋_GB2312"/>
                <w:spacing w:val="0"/>
                <w:sz w:val="30"/>
                <w:szCs w:val="30"/>
                <w:highlight w:val="yellow"/>
                <w:lang w:val="en-US" w:eastAsia="zh-CN"/>
              </w:rPr>
              <w:t>8</w:t>
            </w:r>
          </w:p>
        </w:tc>
        <w:tc>
          <w:tcPr>
            <w:tcW w:w="1657"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231" w:right="222"/>
              <w:jc w:val="center"/>
              <w:rPr>
                <w:rFonts w:hint="eastAsia" w:ascii="仿宋_GB2312" w:hAnsi="仿宋_GB2312" w:eastAsia="仿宋_GB2312" w:cs="仿宋_GB2312"/>
                <w:spacing w:val="0"/>
                <w:sz w:val="30"/>
                <w:szCs w:val="30"/>
                <w:highlight w:val="yellow"/>
                <w:lang w:val="en-US" w:eastAsia="zh-CN"/>
              </w:rPr>
            </w:pPr>
            <w:r>
              <w:rPr>
                <w:rFonts w:hint="eastAsia" w:ascii="仿宋_GB2312" w:hAnsi="仿宋_GB2312" w:eastAsia="仿宋_GB2312" w:cs="仿宋_GB2312"/>
                <w:spacing w:val="0"/>
                <w:sz w:val="30"/>
                <w:szCs w:val="30"/>
                <w:highlight w:val="yellow"/>
                <w:lang w:val="en-US" w:eastAsia="zh-CN"/>
              </w:rPr>
              <w:t>10</w:t>
            </w:r>
          </w:p>
        </w:tc>
        <w:tc>
          <w:tcPr>
            <w:tcW w:w="1410" w:type="dxa"/>
            <w:noWrap w:val="0"/>
            <w:vAlign w:val="center"/>
          </w:tcPr>
          <w:p>
            <w:pPr>
              <w:pStyle w:val="11"/>
              <w:keepNext w:val="0"/>
              <w:keepLines w:val="0"/>
              <w:pageBreakBefore w:val="0"/>
              <w:kinsoku/>
              <w:wordWrap/>
              <w:overflowPunct/>
              <w:topLinePunct w:val="0"/>
              <w:autoSpaceDE/>
              <w:autoSpaceDN/>
              <w:bidi w:val="0"/>
              <w:adjustRightInd/>
              <w:snapToGrid/>
              <w:spacing w:afterAutospacing="0" w:line="580" w:lineRule="exact"/>
              <w:ind w:left="231" w:right="222"/>
              <w:jc w:val="center"/>
              <w:rPr>
                <w:rFonts w:hint="eastAsia" w:ascii="仿宋_GB2312" w:hAnsi="仿宋_GB2312" w:eastAsia="仿宋_GB2312" w:cs="仿宋_GB2312"/>
                <w:spacing w:val="0"/>
                <w:sz w:val="30"/>
                <w:szCs w:val="30"/>
                <w:lang w:eastAsia="zh-CN"/>
              </w:rPr>
            </w:pPr>
            <w:r>
              <w:rPr>
                <w:rFonts w:hint="eastAsia" w:ascii="仿宋_GB2312" w:hAnsi="仿宋_GB2312" w:eastAsia="仿宋_GB2312" w:cs="仿宋_GB2312"/>
                <w:spacing w:val="0"/>
                <w:sz w:val="30"/>
                <w:szCs w:val="30"/>
                <w:lang w:eastAsia="zh-CN"/>
              </w:rPr>
              <w:t>预期性</w:t>
            </w:r>
          </w:p>
        </w:tc>
      </w:tr>
    </w:tbl>
    <w:p>
      <w:pPr>
        <w:pStyle w:val="3"/>
        <w:keepNext w:val="0"/>
        <w:keepLines w:val="0"/>
        <w:pageBreakBefore w:val="0"/>
        <w:kinsoku/>
        <w:wordWrap/>
        <w:overflowPunct/>
        <w:topLinePunct w:val="0"/>
        <w:autoSpaceDE/>
        <w:autoSpaceDN/>
        <w:bidi w:val="0"/>
        <w:adjustRightInd/>
        <w:snapToGrid/>
        <w:spacing w:beforeAutospacing="0" w:afterAutospacing="0" w:line="580" w:lineRule="exact"/>
        <w:ind w:left="0" w:right="0" w:firstLine="0" w:firstLineChars="0"/>
        <w:rPr>
          <w:rFonts w:hint="eastAsia" w:ascii="仿宋_GB2312" w:hAnsi="仿宋_GB2312" w:eastAsia="仿宋_GB2312" w:cs="仿宋_GB2312"/>
          <w:spacing w:val="0"/>
          <w:sz w:val="32"/>
          <w:szCs w:val="32"/>
        </w:rPr>
      </w:pPr>
    </w:p>
    <w:p>
      <w:pPr>
        <w:keepNext w:val="0"/>
        <w:keepLines w:val="0"/>
        <w:pageBreakBefore w:val="0"/>
        <w:kinsoku/>
        <w:wordWrap/>
        <w:overflowPunct/>
        <w:topLinePunct w:val="0"/>
        <w:autoSpaceDE/>
        <w:autoSpaceDN/>
        <w:bidi w:val="0"/>
        <w:adjustRightInd/>
        <w:snapToGrid/>
        <w:spacing w:afterAutospacing="0" w:line="580" w:lineRule="exact"/>
        <w:ind w:firstLine="972" w:firstLineChars="3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val="en-US" w:eastAsia="zh-CN"/>
        </w:rPr>
        <w:t xml:space="preserve"> </w:t>
      </w:r>
      <w:r>
        <w:rPr>
          <w:rFonts w:hint="eastAsia" w:ascii="仿宋_GB2312" w:hAnsi="仿宋_GB2312" w:eastAsia="仿宋_GB2312" w:cs="仿宋_GB2312"/>
          <w:spacing w:val="0"/>
          <w:sz w:val="32"/>
          <w:szCs w:val="32"/>
        </w:rPr>
        <w:t>注：[</w:t>
      </w:r>
      <w:r>
        <w:rPr>
          <w:rFonts w:hint="eastAsia" w:ascii="仿宋_GB2312" w:hAnsi="仿宋_GB2312" w:eastAsia="仿宋_GB2312" w:cs="仿宋_GB2312"/>
          <w:spacing w:val="0"/>
          <w:sz w:val="32"/>
          <w:szCs w:val="32"/>
          <w:lang w:val="en-US" w:eastAsia="zh-CN"/>
        </w:rPr>
        <w:t xml:space="preserve">  </w:t>
      </w:r>
      <w:r>
        <w:rPr>
          <w:rFonts w:hint="eastAsia" w:ascii="仿宋_GB2312" w:hAnsi="仿宋_GB2312" w:eastAsia="仿宋_GB2312" w:cs="仿宋_GB2312"/>
          <w:spacing w:val="0"/>
          <w:sz w:val="32"/>
          <w:szCs w:val="32"/>
        </w:rPr>
        <w:t xml:space="preserve">]为规划累计数，（）为 </w:t>
      </w:r>
      <w:r>
        <w:rPr>
          <w:rFonts w:hint="eastAsia" w:ascii="仿宋_GB2312" w:hAnsi="仿宋_GB2312" w:eastAsia="仿宋_GB2312" w:cs="仿宋_GB2312"/>
          <w:spacing w:val="0"/>
          <w:sz w:val="32"/>
          <w:szCs w:val="32"/>
          <w:lang w:val="en-US" w:eastAsia="zh-CN"/>
        </w:rPr>
        <w:t>2020</w:t>
      </w:r>
      <w:r>
        <w:rPr>
          <w:rFonts w:hint="eastAsia" w:ascii="仿宋_GB2312" w:hAnsi="仿宋_GB2312" w:eastAsia="仿宋_GB2312" w:cs="仿宋_GB2312"/>
          <w:spacing w:val="0"/>
          <w:sz w:val="32"/>
          <w:szCs w:val="32"/>
        </w:rPr>
        <w:t>年数据。</w:t>
      </w:r>
    </w:p>
    <w:p>
      <w:pPr>
        <w:pStyle w:val="3"/>
        <w:keepNext w:val="0"/>
        <w:keepLines w:val="0"/>
        <w:pageBreakBefore w:val="0"/>
        <w:kinsoku/>
        <w:wordWrap/>
        <w:overflowPunct/>
        <w:topLinePunct w:val="0"/>
        <w:autoSpaceDE/>
        <w:autoSpaceDN/>
        <w:bidi w:val="0"/>
        <w:adjustRightInd/>
        <w:snapToGrid/>
        <w:spacing w:beforeAutospacing="0" w:afterAutospacing="0" w:line="580" w:lineRule="exact"/>
        <w:ind w:left="0" w:right="0" w:firstLine="0" w:firstLineChars="0"/>
        <w:jc w:val="both"/>
        <w:rPr>
          <w:rFonts w:hint="eastAsia" w:ascii="仿宋_GB2312" w:hAnsi="仿宋_GB2312" w:eastAsia="仿宋_GB2312" w:cs="仿宋_GB2312"/>
          <w:spacing w:val="0"/>
          <w:sz w:val="32"/>
          <w:szCs w:val="32"/>
          <w:lang w:val="en-US" w:eastAsia="zh-CN"/>
        </w:rPr>
      </w:pPr>
    </w:p>
    <w:p>
      <w:pPr>
        <w:pStyle w:val="3"/>
        <w:keepNext w:val="0"/>
        <w:keepLines w:val="0"/>
        <w:pageBreakBefore w:val="0"/>
        <w:kinsoku/>
        <w:wordWrap/>
        <w:overflowPunct/>
        <w:topLinePunct w:val="0"/>
        <w:autoSpaceDE/>
        <w:autoSpaceDN/>
        <w:bidi w:val="0"/>
        <w:adjustRightInd/>
        <w:snapToGrid/>
        <w:spacing w:beforeAutospacing="0" w:afterAutospacing="0" w:line="580" w:lineRule="exact"/>
        <w:ind w:left="0" w:right="0" w:firstLine="0" w:firstLineChars="0"/>
        <w:jc w:val="center"/>
        <w:rPr>
          <w:rFonts w:hint="eastAsia" w:ascii="仿宋_GB2312" w:hAnsi="仿宋_GB2312" w:eastAsia="仿宋_GB2312" w:cs="仿宋_GB2312"/>
          <w:b w:val="0"/>
          <w:bCs w:val="0"/>
          <w:spacing w:val="0"/>
          <w:sz w:val="32"/>
          <w:szCs w:val="32"/>
        </w:rPr>
      </w:pPr>
      <w:r>
        <w:rPr>
          <w:rFonts w:hint="eastAsia" w:ascii="仿宋_GB2312" w:hAnsi="仿宋_GB2312" w:eastAsia="仿宋_GB2312" w:cs="仿宋_GB2312"/>
          <w:b w:val="0"/>
          <w:bCs w:val="0"/>
          <w:spacing w:val="0"/>
          <w:sz w:val="32"/>
          <w:szCs w:val="32"/>
        </w:rPr>
        <w:t>第四节</w:t>
      </w:r>
      <w:r>
        <w:rPr>
          <w:rFonts w:hint="eastAsia" w:ascii="仿宋_GB2312" w:hAnsi="仿宋_GB2312" w:eastAsia="仿宋_GB2312" w:cs="仿宋_GB2312"/>
          <w:b w:val="0"/>
          <w:bCs w:val="0"/>
          <w:spacing w:val="0"/>
          <w:w w:val="150"/>
          <w:sz w:val="32"/>
          <w:szCs w:val="32"/>
        </w:rPr>
        <w:t xml:space="preserve"> </w:t>
      </w:r>
      <w:r>
        <w:rPr>
          <w:rFonts w:hint="eastAsia" w:ascii="仿宋_GB2312" w:hAnsi="仿宋_GB2312" w:eastAsia="仿宋_GB2312" w:cs="仿宋_GB2312"/>
          <w:b w:val="0"/>
          <w:bCs w:val="0"/>
          <w:spacing w:val="0"/>
          <w:sz w:val="32"/>
          <w:szCs w:val="32"/>
        </w:rPr>
        <w:t>功能定位</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420"/>
        <w:jc w:val="both"/>
        <w:textAlignment w:val="baseline"/>
        <w:rPr>
          <w:rFonts w:hint="eastAsia" w:ascii="仿宋_GB2312" w:hAnsi="仿宋_GB2312" w:eastAsia="仿宋_GB2312" w:cs="仿宋_GB2312"/>
          <w:b/>
          <w:bCs/>
          <w:spacing w:val="0"/>
          <w:sz w:val="32"/>
          <w:szCs w:val="32"/>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firstLine="648" w:firstLineChars="200"/>
        <w:jc w:val="both"/>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加快推进“一中心五组团一带六极”现代城镇体系。一中心</w:t>
      </w:r>
      <w:r>
        <w:rPr>
          <w:rFonts w:hint="eastAsia" w:ascii="仿宋_GB2312" w:hAnsi="仿宋_GB2312" w:eastAsia="仿宋_GB2312" w:cs="仿宋_GB2312"/>
          <w:spacing w:val="0"/>
          <w:sz w:val="32"/>
          <w:szCs w:val="32"/>
        </w:rPr>
        <w:t>：坚持以国际化、现代化、生态化为方向，增强枢纽辐射、创业创新、开放带动、文化引领等功能，集聚高端发展要素，全面提升综合承载能力和辐射带动个能力，把中心城区打造成为</w:t>
      </w:r>
      <w:r>
        <w:rPr>
          <w:rFonts w:hint="eastAsia" w:ascii="仿宋_GB2312" w:hAnsi="仿宋_GB2312" w:eastAsia="仿宋_GB2312" w:cs="仿宋_GB2312"/>
          <w:spacing w:val="0"/>
          <w:sz w:val="32"/>
          <w:szCs w:val="32"/>
          <w:lang w:eastAsia="zh-CN"/>
        </w:rPr>
        <w:t>现代</w:t>
      </w:r>
      <w:r>
        <w:rPr>
          <w:rFonts w:hint="eastAsia" w:ascii="仿宋" w:hAnsi="仿宋" w:eastAsia="仿宋" w:cs="仿宋"/>
          <w:color w:val="auto"/>
          <w:spacing w:val="-2"/>
          <w:sz w:val="32"/>
          <w:szCs w:val="32"/>
        </w:rPr>
        <w:t>化</w:t>
      </w:r>
      <w:r>
        <w:rPr>
          <w:rFonts w:hint="eastAsia" w:ascii="仿宋_GB2312" w:hAnsi="仿宋_GB2312" w:eastAsia="仿宋_GB2312" w:cs="仿宋_GB2312"/>
          <w:spacing w:val="0"/>
          <w:sz w:val="32"/>
          <w:szCs w:val="32"/>
        </w:rPr>
        <w:t>区域中心城市。</w:t>
      </w:r>
      <w:r>
        <w:rPr>
          <w:rFonts w:hint="eastAsia" w:ascii="仿宋_GB2312" w:hAnsi="仿宋_GB2312" w:eastAsia="仿宋_GB2312" w:cs="仿宋_GB2312"/>
          <w:b/>
          <w:bCs/>
          <w:spacing w:val="0"/>
          <w:sz w:val="32"/>
          <w:szCs w:val="32"/>
        </w:rPr>
        <w:t>五组团</w:t>
      </w:r>
      <w:r>
        <w:rPr>
          <w:rFonts w:hint="eastAsia" w:ascii="仿宋_GB2312" w:hAnsi="仿宋_GB2312" w:eastAsia="仿宋_GB2312" w:cs="仿宋_GB2312"/>
          <w:spacing w:val="0"/>
          <w:sz w:val="32"/>
          <w:szCs w:val="32"/>
        </w:rPr>
        <w:t>：着力打造中小城镇组团</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b w:val="0"/>
          <w:i w:val="0"/>
          <w:caps w:val="0"/>
          <w:color w:val="000000"/>
          <w:spacing w:val="0"/>
          <w:sz w:val="32"/>
          <w:szCs w:val="32"/>
          <w:shd w:val="clear" w:fill="FFFFFF"/>
          <w:vertAlign w:val="baseline"/>
        </w:rPr>
        <w:t>遂平组团：重点发展食品加工、商务休闲、旅游度假等功能</w:t>
      </w:r>
      <w:r>
        <w:rPr>
          <w:rFonts w:hint="eastAsia" w:ascii="仿宋_GB2312" w:hAnsi="仿宋_GB2312" w:eastAsia="仿宋_GB2312" w:cs="仿宋_GB2312"/>
          <w:b w:val="0"/>
          <w:i w:val="0"/>
          <w:caps w:val="0"/>
          <w:color w:val="000000"/>
          <w:spacing w:val="0"/>
          <w:sz w:val="32"/>
          <w:szCs w:val="32"/>
          <w:shd w:val="clear" w:fill="FFFFFF"/>
          <w:vertAlign w:val="baseline"/>
          <w:lang w:eastAsia="zh-CN"/>
        </w:rPr>
        <w:t>；</w:t>
      </w:r>
      <w:r>
        <w:rPr>
          <w:rFonts w:hint="eastAsia" w:ascii="仿宋_GB2312" w:hAnsi="仿宋_GB2312" w:eastAsia="仿宋_GB2312" w:cs="仿宋_GB2312"/>
          <w:b w:val="0"/>
          <w:i w:val="0"/>
          <w:caps w:val="0"/>
          <w:color w:val="000000"/>
          <w:spacing w:val="0"/>
          <w:sz w:val="32"/>
          <w:szCs w:val="32"/>
          <w:shd w:val="clear" w:fill="FFFFFF"/>
          <w:vertAlign w:val="baseline"/>
        </w:rPr>
        <w:t>确山组团：重点发展生物科技、建材生产、生态居住等功能</w:t>
      </w:r>
      <w:r>
        <w:rPr>
          <w:rFonts w:hint="eastAsia" w:ascii="仿宋_GB2312" w:hAnsi="仿宋_GB2312" w:eastAsia="仿宋_GB2312" w:cs="仿宋_GB2312"/>
          <w:b w:val="0"/>
          <w:i w:val="0"/>
          <w:caps w:val="0"/>
          <w:color w:val="000000"/>
          <w:spacing w:val="0"/>
          <w:sz w:val="32"/>
          <w:szCs w:val="32"/>
          <w:shd w:val="clear" w:fill="FFFFFF"/>
          <w:vertAlign w:val="baseline"/>
          <w:lang w:eastAsia="zh-CN"/>
        </w:rPr>
        <w:t>；</w:t>
      </w:r>
      <w:r>
        <w:rPr>
          <w:rFonts w:hint="eastAsia" w:ascii="仿宋_GB2312" w:hAnsi="仿宋_GB2312" w:eastAsia="仿宋_GB2312" w:cs="仿宋_GB2312"/>
          <w:b w:val="0"/>
          <w:i w:val="0"/>
          <w:caps w:val="0"/>
          <w:color w:val="000000"/>
          <w:spacing w:val="0"/>
          <w:sz w:val="32"/>
          <w:szCs w:val="32"/>
          <w:shd w:val="clear" w:fill="FFFFFF"/>
          <w:vertAlign w:val="baseline"/>
        </w:rPr>
        <w:t>汝南组团：重点发展装备制造、建材生产、历史文化和生态旅游等功能</w:t>
      </w:r>
      <w:r>
        <w:rPr>
          <w:rFonts w:hint="eastAsia" w:ascii="仿宋_GB2312" w:hAnsi="仿宋_GB2312" w:eastAsia="仿宋_GB2312" w:cs="仿宋_GB2312"/>
          <w:b w:val="0"/>
          <w:i w:val="0"/>
          <w:caps w:val="0"/>
          <w:color w:val="000000"/>
          <w:spacing w:val="0"/>
          <w:sz w:val="32"/>
          <w:szCs w:val="32"/>
          <w:shd w:val="clear" w:fill="FFFFFF"/>
          <w:vertAlign w:val="baseline"/>
          <w:lang w:eastAsia="zh-CN"/>
        </w:rPr>
        <w:t>；</w:t>
      </w:r>
      <w:r>
        <w:rPr>
          <w:rFonts w:hint="eastAsia" w:ascii="仿宋_GB2312" w:hAnsi="仿宋_GB2312" w:eastAsia="仿宋_GB2312" w:cs="仿宋_GB2312"/>
          <w:b w:val="0"/>
          <w:i w:val="0"/>
          <w:caps w:val="0"/>
          <w:color w:val="000000"/>
          <w:spacing w:val="0"/>
          <w:sz w:val="32"/>
          <w:szCs w:val="32"/>
          <w:shd w:val="clear" w:fill="FFFFFF"/>
          <w:vertAlign w:val="baseline"/>
        </w:rPr>
        <w:t>西部山区：重点发展生态休闲旅游功能</w:t>
      </w:r>
      <w:r>
        <w:rPr>
          <w:rFonts w:hint="eastAsia" w:ascii="仿宋_GB2312" w:hAnsi="仿宋_GB2312" w:eastAsia="仿宋_GB2312" w:cs="仿宋_GB2312"/>
          <w:b w:val="0"/>
          <w:i w:val="0"/>
          <w:caps w:val="0"/>
          <w:color w:val="000000"/>
          <w:spacing w:val="0"/>
          <w:sz w:val="32"/>
          <w:szCs w:val="32"/>
          <w:shd w:val="clear" w:fill="FFFFFF"/>
          <w:vertAlign w:val="baseline"/>
          <w:lang w:eastAsia="zh-CN"/>
        </w:rPr>
        <w:t>；</w:t>
      </w:r>
      <w:r>
        <w:rPr>
          <w:rFonts w:hint="eastAsia" w:ascii="仿宋_GB2312" w:hAnsi="仿宋_GB2312" w:eastAsia="仿宋_GB2312" w:cs="仿宋_GB2312"/>
          <w:b w:val="0"/>
          <w:i w:val="0"/>
          <w:caps w:val="0"/>
          <w:color w:val="000000"/>
          <w:spacing w:val="0"/>
          <w:sz w:val="32"/>
          <w:szCs w:val="32"/>
          <w:shd w:val="clear" w:fill="FFFFFF"/>
          <w:vertAlign w:val="baseline"/>
        </w:rPr>
        <w:t>东部宿鸭湖地区：重点发展生态休闲旅游功能</w:t>
      </w:r>
      <w:r>
        <w:rPr>
          <w:rFonts w:hint="default" w:ascii="仿宋_GB2312" w:hAnsi="仿宋_GB2312" w:eastAsia="仿宋_GB2312" w:cs="仿宋_GB2312"/>
          <w:b w:val="0"/>
          <w:i w:val="0"/>
          <w:caps w:val="0"/>
          <w:color w:val="000000"/>
          <w:spacing w:val="0"/>
          <w:sz w:val="32"/>
          <w:szCs w:val="32"/>
          <w:shd w:val="clear" w:fill="FFFFFF"/>
          <w:vertAlign w:val="baseline"/>
          <w:lang w:val="en"/>
        </w:rPr>
        <w:t>,</w:t>
      </w:r>
      <w:r>
        <w:rPr>
          <w:rFonts w:hint="eastAsia" w:ascii="仿宋_GB2312" w:hAnsi="仿宋_GB2312" w:eastAsia="仿宋_GB2312" w:cs="仿宋_GB2312"/>
          <w:b w:val="0"/>
          <w:i w:val="0"/>
          <w:caps w:val="0"/>
          <w:color w:val="000000"/>
          <w:spacing w:val="0"/>
          <w:sz w:val="32"/>
          <w:szCs w:val="32"/>
          <w:shd w:val="clear" w:fill="FFFFFF"/>
          <w:vertAlign w:val="baseline"/>
          <w:lang w:val="en" w:eastAsia="zh-CN"/>
        </w:rPr>
        <w:t>打造未来国内最大城市内湖</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依托京广城镇产业综合发展轴，实施大县城战略，有重点地发展中小城镇，培育差别定位、功能互补的多个城镇组团，完善以中心城区和县城为骨架、以重点镇为补充的市域城镇群体系，引导城镇化重点区域实现层次化、差异化发展，形成特色突出、职住平衡、运行高效、联系紧密的空间布局。</w:t>
      </w:r>
      <w:r>
        <w:rPr>
          <w:rFonts w:hint="eastAsia" w:ascii="仿宋_GB2312" w:hAnsi="仿宋_GB2312" w:eastAsia="仿宋_GB2312" w:cs="仿宋_GB2312"/>
          <w:b/>
          <w:bCs/>
          <w:spacing w:val="0"/>
          <w:sz w:val="32"/>
          <w:szCs w:val="32"/>
        </w:rPr>
        <w:t>一带六极</w:t>
      </w:r>
      <w:r>
        <w:rPr>
          <w:rFonts w:hint="eastAsia" w:ascii="仿宋_GB2312" w:hAnsi="仿宋_GB2312" w:eastAsia="仿宋_GB2312" w:cs="仿宋_GB2312"/>
          <w:spacing w:val="0"/>
          <w:sz w:val="32"/>
          <w:szCs w:val="32"/>
        </w:rPr>
        <w:t>：以西平、上蔡县、平舆县、新蔡县、正阳县、泌阳县为支撑的沿边经济发展带和沿边经济增长极。</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right="0" w:firstLine="0" w:firstLineChars="0"/>
        <w:textAlignment w:val="auto"/>
        <w:rPr>
          <w:rFonts w:hint="eastAsia" w:ascii="仿宋_GB2312" w:hAnsi="仿宋_GB2312" w:eastAsia="仿宋_GB2312" w:cs="仿宋_GB2312"/>
          <w:spacing w:val="0"/>
          <w:sz w:val="32"/>
          <w:szCs w:val="32"/>
        </w:rPr>
      </w:pPr>
    </w:p>
    <w:p>
      <w:pPr>
        <w:pStyle w:val="3"/>
        <w:keepNext w:val="0"/>
        <w:keepLines w:val="0"/>
        <w:pageBreakBefore w:val="0"/>
        <w:numPr>
          <w:ilvl w:val="0"/>
          <w:numId w:val="2"/>
        </w:numPr>
        <w:kinsoku/>
        <w:wordWrap/>
        <w:overflowPunct/>
        <w:topLinePunct w:val="0"/>
        <w:autoSpaceDE/>
        <w:autoSpaceDN/>
        <w:bidi w:val="0"/>
        <w:adjustRightInd/>
        <w:snapToGrid/>
        <w:spacing w:beforeAutospacing="0" w:afterAutospacing="0" w:line="580" w:lineRule="exact"/>
        <w:ind w:left="0" w:right="0" w:firstLine="0" w:firstLineChars="0"/>
        <w:rPr>
          <w:rFonts w:hint="eastAsia" w:ascii="仿宋_GB2312" w:hAnsi="仿宋_GB2312" w:eastAsia="仿宋_GB2312" w:cs="仿宋_GB2312"/>
          <w:b w:val="0"/>
          <w:bCs w:val="0"/>
          <w:spacing w:val="0"/>
          <w:sz w:val="32"/>
          <w:szCs w:val="32"/>
        </w:rPr>
      </w:pPr>
      <w:r>
        <w:rPr>
          <w:rFonts w:hint="eastAsia" w:ascii="仿宋_GB2312" w:hAnsi="仿宋_GB2312" w:eastAsia="仿宋_GB2312" w:cs="仿宋_GB2312"/>
          <w:b w:val="0"/>
          <w:bCs w:val="0"/>
          <w:spacing w:val="0"/>
          <w:sz w:val="32"/>
          <w:szCs w:val="32"/>
        </w:rPr>
        <w:t>总体思路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80" w:lineRule="exact"/>
        <w:ind w:left="0" w:right="0" w:firstLine="648" w:firstLineChars="200"/>
        <w:rPr>
          <w:rFonts w:hint="eastAsia" w:ascii="仿宋_GB2312" w:hAnsi="仿宋_GB2312" w:eastAsia="仿宋_GB2312" w:cs="仿宋_GB2312"/>
          <w:color w:val="auto"/>
          <w:spacing w:val="0"/>
          <w:sz w:val="32"/>
          <w:szCs w:val="32"/>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80" w:lineRule="exact"/>
        <w:ind w:left="0" w:right="0" w:firstLine="648" w:firstLineChars="200"/>
        <w:rPr>
          <w:rFonts w:hint="eastAsia" w:ascii="仿宋_GB2312" w:hAnsi="仿宋_GB2312" w:eastAsia="仿宋_GB2312" w:cs="仿宋_GB2312"/>
          <w:color w:val="auto"/>
          <w:spacing w:val="0"/>
          <w:sz w:val="32"/>
          <w:szCs w:val="32"/>
          <w:lang w:eastAsia="zh-CN"/>
        </w:rPr>
      </w:pPr>
      <w:r>
        <w:rPr>
          <w:rFonts w:hint="eastAsia" w:ascii="仿宋_GB2312" w:hAnsi="仿宋_GB2312" w:eastAsia="仿宋_GB2312" w:cs="仿宋_GB2312"/>
          <w:color w:val="auto"/>
          <w:spacing w:val="0"/>
          <w:sz w:val="32"/>
          <w:szCs w:val="32"/>
        </w:rPr>
        <w:t>坚持以习近平新时代中国特色社会主义思想为指导，认真落实省委楼阳生书记调研驻马店时的讲话指示要求，锚定“两个确保”，实施“十大战略”，紧扣建设现代化区域中心城市目标，重点在“十个着力”上聚焦突破</w:t>
      </w:r>
      <w:r>
        <w:rPr>
          <w:rFonts w:hint="eastAsia" w:ascii="仿宋_GB2312" w:hAnsi="仿宋_GB2312" w:eastAsia="仿宋_GB2312" w:cs="仿宋_GB2312"/>
          <w:color w:val="auto"/>
          <w:spacing w:val="0"/>
          <w:sz w:val="32"/>
          <w:szCs w:val="32"/>
          <w:lang w:eastAsia="zh-CN"/>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80" w:lineRule="exact"/>
        <w:ind w:left="0" w:right="0" w:firstLine="648" w:firstLineChars="200"/>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color w:val="auto"/>
          <w:spacing w:val="0"/>
          <w:sz w:val="32"/>
          <w:szCs w:val="32"/>
          <w:lang w:eastAsia="zh-CN"/>
        </w:rPr>
        <w:t>——</w:t>
      </w:r>
      <w:r>
        <w:rPr>
          <w:rFonts w:hint="eastAsia" w:ascii="仿宋_GB2312" w:hAnsi="仿宋_GB2312" w:eastAsia="仿宋_GB2312" w:cs="仿宋_GB2312"/>
          <w:color w:val="auto"/>
          <w:spacing w:val="0"/>
          <w:sz w:val="32"/>
          <w:szCs w:val="32"/>
        </w:rPr>
        <w:t>着力扬农业优势。坚定扛稳粮食安全重任，大力实施高标准农田建设、现代种业发展、优势特色农产品打造、畜牧业结构优化、农业功能拓展“五大行动”，以“国际农都”和中国（驻马店）国际农产品加工产业园建设为载体，加大与知名重点农产品加工企业的对接洽谈力度，大力发展畜禽屠宰和深加工，加快打造“全链条、全循环、高质量、高效益”农产品加工产业集群，确保粮食总产稳定在160亿斤以上、农产品加工业产值在2200亿元以上。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80" w:lineRule="exact"/>
        <w:ind w:left="0" w:right="0" w:firstLine="648" w:firstLineChars="200"/>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color w:val="auto"/>
          <w:spacing w:val="0"/>
          <w:sz w:val="32"/>
          <w:szCs w:val="32"/>
          <w:lang w:eastAsia="zh-CN"/>
        </w:rPr>
        <w:t>——</w:t>
      </w:r>
      <w:r>
        <w:rPr>
          <w:rFonts w:hint="eastAsia" w:ascii="仿宋_GB2312" w:hAnsi="仿宋_GB2312" w:eastAsia="仿宋_GB2312" w:cs="仿宋_GB2312"/>
          <w:color w:val="auto"/>
          <w:spacing w:val="0"/>
          <w:sz w:val="32"/>
          <w:szCs w:val="32"/>
        </w:rPr>
        <w:t>着力补工业短板。坚持“项目为王”，做好延链补链强链“三篇文章”，加快“三大改造”步伐，大力推进“中国药谷”建设，持续壮大食品加工千亿级产业集群，加快形成生物医药500亿级，装备制造、服装制鞋300亿级，现代化工、绿色建材200亿级和节能环保、户外休闲、新能源电动车3个百亿级特色产业集群，同时大力培育机械模具产业，不断增强工业经济实力。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80" w:lineRule="exact"/>
        <w:ind w:left="0" w:right="0" w:firstLine="648" w:firstLineChars="200"/>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color w:val="auto"/>
          <w:spacing w:val="0"/>
          <w:sz w:val="32"/>
          <w:szCs w:val="32"/>
          <w:lang w:eastAsia="zh-CN"/>
        </w:rPr>
        <w:t>——</w:t>
      </w:r>
      <w:r>
        <w:rPr>
          <w:rFonts w:hint="eastAsia" w:ascii="仿宋_GB2312" w:hAnsi="仿宋_GB2312" w:eastAsia="仿宋_GB2312" w:cs="仿宋_GB2312"/>
          <w:color w:val="auto"/>
          <w:spacing w:val="0"/>
          <w:sz w:val="32"/>
          <w:szCs w:val="32"/>
        </w:rPr>
        <w:t>着力促服务业升级。围绕建设现代服务业强市，实施生产性服务业提升计划，加大招行引金力度，加强企业上市工作；加快恒兴、万邦、丰树等物流园区建设，着力打造区域物流枢纽城市。实施生活性服务业提升计划，加快皇家驿站、华强方特等项目建设，壮大文旅文创市场主体。实施新兴服务业提升计划，大力发展平台经济、会展经济等新业态新模式，提升服务业供给水平。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80" w:lineRule="exact"/>
        <w:ind w:left="0" w:right="0" w:firstLine="648" w:firstLineChars="200"/>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color w:val="auto"/>
          <w:spacing w:val="0"/>
          <w:sz w:val="32"/>
          <w:szCs w:val="32"/>
          <w:lang w:eastAsia="zh-CN"/>
        </w:rPr>
        <w:t>——</w:t>
      </w:r>
      <w:r>
        <w:rPr>
          <w:rFonts w:hint="eastAsia" w:ascii="仿宋_GB2312" w:hAnsi="仿宋_GB2312" w:eastAsia="仿宋_GB2312" w:cs="仿宋_GB2312"/>
          <w:color w:val="auto"/>
          <w:spacing w:val="0"/>
          <w:sz w:val="32"/>
          <w:szCs w:val="32"/>
        </w:rPr>
        <w:t>着力强科技支撑。坚持把创新摆在发展的逻辑起点、现代化建设的核心位置，实施创新主体培育工程，开展头雁企业培育行动，加快形成10亿、30亿、50亿、百亿级优质企业雁阵；实施创新平台载体建设工程，积极争取国家、省高能级创新平台和重大科技基础设施在我市布局；实施科技成果转移转化工程，发挥产教融合发展战略国际论坛名片效应，推动政、产、学、研、用主体贯通；实施科技创新人才队伍建设工程，持续叫响“院士经济”品牌，完善科技成果奖励体系，营造一流创新生态。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80" w:lineRule="exact"/>
        <w:ind w:left="0" w:right="0" w:firstLine="648" w:firstLineChars="200"/>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color w:val="auto"/>
          <w:spacing w:val="0"/>
          <w:sz w:val="32"/>
          <w:szCs w:val="32"/>
          <w:lang w:eastAsia="zh-CN"/>
        </w:rPr>
        <w:t>——</w:t>
      </w:r>
      <w:r>
        <w:rPr>
          <w:rFonts w:hint="eastAsia" w:ascii="仿宋_GB2312" w:hAnsi="仿宋_GB2312" w:eastAsia="仿宋_GB2312" w:cs="仿宋_GB2312"/>
          <w:color w:val="auto"/>
          <w:spacing w:val="0"/>
          <w:sz w:val="32"/>
          <w:szCs w:val="32"/>
        </w:rPr>
        <w:t>着力激开放活力。坚持以开放增强外源动力，发挥中国农加工投洽会带动效应和“驻马店—宁波舟山港、青岛港”海铁联运班列优势，加强与京津冀、长三角和粤港澳大湾区等城市之间的交流，深入开展产业链精准招商、专业化市场化招商，持续办好中国农加工投洽会等一批重大活动，进一步扩大影响力、提高知名度。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80" w:lineRule="exact"/>
        <w:ind w:left="0" w:right="0" w:firstLine="648" w:firstLineChars="200"/>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color w:val="auto"/>
          <w:spacing w:val="0"/>
          <w:sz w:val="32"/>
          <w:szCs w:val="32"/>
          <w:lang w:eastAsia="zh-CN"/>
        </w:rPr>
        <w:t>——</w:t>
      </w:r>
      <w:r>
        <w:rPr>
          <w:rFonts w:hint="eastAsia" w:ascii="仿宋_GB2312" w:hAnsi="仿宋_GB2312" w:eastAsia="仿宋_GB2312" w:cs="仿宋_GB2312"/>
          <w:color w:val="auto"/>
          <w:spacing w:val="0"/>
          <w:sz w:val="32"/>
          <w:szCs w:val="32"/>
        </w:rPr>
        <w:t>着力增改革动力。聚焦市场主体普遍关心的热点难点问题，扎实开展“万人助万企”活动，深化“放管服效”改革，力争营商环境评价进入全省第一方阵。扎实做好国资国企、党政机构、事业单位、地方金融、开发区等重点领域改革，在全面上做文章、深化上下功夫，实现改革举措有机衔接、有效贯通、有序联动。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80" w:lineRule="exact"/>
        <w:ind w:left="0" w:right="0" w:firstLine="648" w:firstLineChars="200"/>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color w:val="auto"/>
          <w:spacing w:val="0"/>
          <w:sz w:val="32"/>
          <w:szCs w:val="32"/>
          <w:lang w:eastAsia="zh-CN"/>
        </w:rPr>
        <w:t>——</w:t>
      </w:r>
      <w:r>
        <w:rPr>
          <w:rFonts w:hint="eastAsia" w:ascii="仿宋_GB2312" w:hAnsi="仿宋_GB2312" w:eastAsia="仿宋_GB2312" w:cs="仿宋_GB2312"/>
          <w:color w:val="auto"/>
          <w:spacing w:val="0"/>
          <w:sz w:val="32"/>
          <w:szCs w:val="32"/>
        </w:rPr>
        <w:t>着力抓城乡发展。强化中心城区引领，前瞻30年高标准编制国土空间规划、城市总体规划、市域一体化发展规划，科学划定“三条控制线”，优化生产、生活、生态布局。围绕推动县域经济成高原，深化产业集聚区“百园增效”行动，提升对县域经济发展的承载力和对农业农村现代化的支撑力。全面推进乡村振兴，巩固拓展脱贫攻坚成果同乡村振兴有效衔接，做优做强现代农业产业体系，扎实开展美丽乡村建设行动，建设宜居宜业美丽乡村。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80" w:lineRule="exact"/>
        <w:ind w:left="0" w:right="0" w:firstLine="648" w:firstLineChars="200"/>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color w:val="auto"/>
          <w:spacing w:val="0"/>
          <w:sz w:val="32"/>
          <w:szCs w:val="32"/>
          <w:lang w:eastAsia="zh-CN"/>
        </w:rPr>
        <w:t>——</w:t>
      </w:r>
      <w:r>
        <w:rPr>
          <w:rFonts w:hint="eastAsia" w:ascii="仿宋_GB2312" w:hAnsi="仿宋_GB2312" w:eastAsia="仿宋_GB2312" w:cs="仿宋_GB2312"/>
          <w:color w:val="auto"/>
          <w:spacing w:val="0"/>
          <w:sz w:val="32"/>
          <w:szCs w:val="32"/>
        </w:rPr>
        <w:t>着力促环境改善。深入践行习近平生态文明思想，以开展国家生态文明建设示范市（县）和省级生态县创建为契机，聚焦减污降碳协同增效，持续优化能源结构，加快节能降耗，加大生态修复，有序推进碳达峰碳中和，高标准打好蓝天、碧水、净土保卫战，加快建设山水相间、蓝绿相融的现代化大城市。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580" w:lineRule="exact"/>
        <w:ind w:left="0" w:right="0" w:firstLine="648" w:firstLineChars="200"/>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color w:val="auto"/>
          <w:spacing w:val="0"/>
          <w:sz w:val="32"/>
          <w:szCs w:val="32"/>
          <w:lang w:eastAsia="zh-CN"/>
        </w:rPr>
        <w:t>——</w:t>
      </w:r>
      <w:r>
        <w:rPr>
          <w:rFonts w:hint="eastAsia" w:ascii="仿宋_GB2312" w:hAnsi="仿宋_GB2312" w:eastAsia="仿宋_GB2312" w:cs="仿宋_GB2312"/>
          <w:color w:val="auto"/>
          <w:spacing w:val="0"/>
          <w:sz w:val="32"/>
          <w:szCs w:val="32"/>
        </w:rPr>
        <w:t>着力增民生福祉。坚持以人民为中心的发展思想，围绕“一老一小一青壮”，加快推进教育、卫生、养老等重点民生项目建设，切实解决好群众的“急难愁盼”问题。高效统筹疫情防控和经济社会发展，深入开展“大走访大调研大排查大化解”活动，坚决防范化解重大风险，持续营造平稳健康的经济环境、国泰民安的社会环境、风清气正的政治环境。 </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80" w:lineRule="exact"/>
        <w:ind w:left="0" w:right="0" w:firstLine="648" w:firstLineChars="200"/>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color w:val="auto"/>
          <w:spacing w:val="0"/>
          <w:sz w:val="32"/>
          <w:szCs w:val="32"/>
          <w:lang w:eastAsia="zh-CN"/>
        </w:rPr>
        <w:t>——</w:t>
      </w:r>
      <w:r>
        <w:rPr>
          <w:rFonts w:hint="eastAsia" w:ascii="仿宋_GB2312" w:hAnsi="仿宋_GB2312" w:eastAsia="仿宋_GB2312" w:cs="仿宋_GB2312"/>
          <w:color w:val="auto"/>
          <w:spacing w:val="0"/>
          <w:sz w:val="32"/>
          <w:szCs w:val="32"/>
        </w:rPr>
        <w:t>着力强党建引领。坚持以党建“第一责任”引领保障发展“第一要务”，巩固拓展党史学习教育成果，加强干部队伍建设，常态化开展“墩苗育苗”计划，大力倡树能者上、优者奖、庸者下、劣者汰的鲜明导向；加强基层组织建设，深化乡镇管理体制改革，深入开展“五星”支部创建活动，充分发挥基层党组织战斗堡垒作用；加强纪律作风建设，大力纠“四风”树新风，一体推进“三不”，营造持久风清气正的政治生态。</w:t>
      </w:r>
    </w:p>
    <w:p>
      <w:pPr>
        <w:pStyle w:val="2"/>
        <w:keepNext w:val="0"/>
        <w:keepLines w:val="0"/>
        <w:pageBreakBefore w:val="0"/>
        <w:kinsoku/>
        <w:wordWrap/>
        <w:overflowPunct/>
        <w:topLinePunct w:val="0"/>
        <w:autoSpaceDE/>
        <w:autoSpaceDN/>
        <w:bidi w:val="0"/>
        <w:adjustRightInd/>
        <w:snapToGrid/>
        <w:spacing w:beforeAutospacing="0" w:afterAutospacing="0" w:line="580" w:lineRule="exact"/>
        <w:ind w:left="0" w:right="0" w:firstLine="0" w:firstLineChars="0"/>
        <w:jc w:val="center"/>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第三章</w:t>
      </w:r>
      <w:r>
        <w:rPr>
          <w:rFonts w:hint="eastAsia" w:ascii="仿宋_GB2312" w:hAnsi="仿宋_GB2312" w:eastAsia="仿宋_GB2312" w:cs="仿宋_GB2312"/>
          <w:b/>
          <w:bCs/>
          <w:spacing w:val="0"/>
          <w:w w:val="150"/>
          <w:sz w:val="32"/>
          <w:szCs w:val="32"/>
        </w:rPr>
        <w:t xml:space="preserve"> </w:t>
      </w:r>
      <w:r>
        <w:rPr>
          <w:rFonts w:hint="eastAsia" w:ascii="黑体" w:hAnsi="黑体" w:eastAsia="黑体" w:cs="黑体"/>
          <w:b w:val="0"/>
          <w:bCs w:val="0"/>
          <w:spacing w:val="11"/>
          <w:w w:val="100"/>
          <w:sz w:val="32"/>
          <w:szCs w:val="32"/>
          <w:lang w:val="en-US" w:eastAsia="zh-CN"/>
        </w:rPr>
        <w:t>提升城市综合能级</w:t>
      </w:r>
      <w:r>
        <w:rPr>
          <w:rFonts w:hint="eastAsia" w:ascii="黑体" w:hAnsi="黑体" w:eastAsia="黑体" w:cs="黑体"/>
          <w:b w:val="0"/>
          <w:bCs w:val="0"/>
          <w:spacing w:val="11"/>
          <w:w w:val="100"/>
          <w:sz w:val="32"/>
          <w:szCs w:val="32"/>
        </w:rPr>
        <w:t>，</w:t>
      </w:r>
      <w:r>
        <w:rPr>
          <w:rFonts w:hint="eastAsia" w:ascii="黑体" w:hAnsi="黑体" w:eastAsia="黑体" w:cs="黑体"/>
          <w:b w:val="0"/>
          <w:bCs w:val="0"/>
          <w:spacing w:val="11"/>
          <w:w w:val="100"/>
          <w:sz w:val="32"/>
          <w:szCs w:val="32"/>
          <w:lang w:eastAsia="zh-CN"/>
        </w:rPr>
        <w:t>推进区域中心城市建设</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ind w:firstLine="648" w:firstLineChars="200"/>
        <w:jc w:val="left"/>
        <w:rPr>
          <w:rFonts w:hint="eastAsia" w:ascii="仿宋_GB2312" w:hAnsi="仿宋_GB2312" w:eastAsia="仿宋_GB2312" w:cs="仿宋_GB2312"/>
          <w:b w:val="0"/>
          <w:i w:val="0"/>
          <w:caps w:val="0"/>
          <w:color w:val="000000"/>
          <w:spacing w:val="0"/>
          <w:kern w:val="0"/>
          <w:sz w:val="32"/>
          <w:szCs w:val="32"/>
          <w:shd w:val="clear" w:fill="FFFFFF"/>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ind w:firstLine="648" w:firstLineChars="200"/>
        <w:jc w:val="left"/>
        <w:rPr>
          <w:rFonts w:hint="eastAsia" w:ascii="仿宋_GB2312" w:hAnsi="仿宋_GB2312" w:eastAsia="仿宋_GB2312" w:cs="仿宋_GB2312"/>
          <w:b w:val="0"/>
          <w:i w:val="0"/>
          <w:caps w:val="0"/>
          <w:color w:val="000000"/>
          <w:spacing w:val="0"/>
          <w:kern w:val="0"/>
          <w:sz w:val="32"/>
          <w:szCs w:val="32"/>
          <w:shd w:val="clear" w:fill="FFFFFF"/>
          <w:lang w:val="en-US" w:eastAsia="zh-CN" w:bidi="ar"/>
        </w:rPr>
      </w:pPr>
      <w:r>
        <w:rPr>
          <w:rFonts w:hint="eastAsia" w:ascii="仿宋_GB2312" w:hAnsi="仿宋_GB2312" w:eastAsia="仿宋_GB2312" w:cs="仿宋_GB2312"/>
          <w:b w:val="0"/>
          <w:i w:val="0"/>
          <w:caps w:val="0"/>
          <w:color w:val="000000"/>
          <w:spacing w:val="0"/>
          <w:kern w:val="0"/>
          <w:sz w:val="32"/>
          <w:szCs w:val="32"/>
          <w:shd w:val="clear" w:fill="FFFFFF"/>
          <w:lang w:val="en-US" w:eastAsia="zh-CN" w:bidi="ar"/>
        </w:rPr>
        <w:t>强化驻马店市与中原城市群核心层及紧密层的融合发展，提升驻马店中原城市群中南部区域中心城市地位，增强县级城市产业和人口集聚能力，有重点地发展中心镇，形成以市区中心城区为核心、县城为骨干、重点乡镇为依托的大中小城市和小城镇协调发展的空间格局。</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center"/>
        <w:rPr>
          <w:rFonts w:hint="eastAsia" w:ascii="仿宋_GB2312" w:hAnsi="仿宋_GB2312" w:eastAsia="仿宋_GB2312" w:cs="仿宋_GB2312"/>
          <w:b w:val="0"/>
          <w:bCs w:val="0"/>
          <w:spacing w:val="0"/>
          <w:sz w:val="32"/>
          <w:szCs w:val="32"/>
          <w:lang w:val="en-US" w:eastAsia="zh-CN"/>
        </w:rPr>
      </w:pPr>
      <w:r>
        <w:rPr>
          <w:rFonts w:hint="eastAsia" w:ascii="仿宋_GB2312" w:hAnsi="仿宋_GB2312" w:eastAsia="仿宋_GB2312" w:cs="仿宋_GB2312"/>
          <w:b w:val="0"/>
          <w:bCs w:val="0"/>
          <w:spacing w:val="0"/>
          <w:sz w:val="32"/>
          <w:szCs w:val="32"/>
          <w:lang w:eastAsia="zh-CN"/>
        </w:rPr>
        <w:t>第一节</w:t>
      </w:r>
      <w:r>
        <w:rPr>
          <w:rFonts w:hint="eastAsia" w:ascii="仿宋_GB2312" w:hAnsi="仿宋_GB2312" w:eastAsia="仿宋_GB2312" w:cs="仿宋_GB2312"/>
          <w:b w:val="0"/>
          <w:bCs w:val="0"/>
          <w:spacing w:val="0"/>
          <w:sz w:val="32"/>
          <w:szCs w:val="32"/>
          <w:lang w:val="en-US" w:eastAsia="zh-CN"/>
        </w:rPr>
        <w:t xml:space="preserve"> 科学规划新型城镇空间体系</w:t>
      </w:r>
    </w:p>
    <w:p>
      <w:pPr>
        <w:keepNext w:val="0"/>
        <w:keepLines w:val="0"/>
        <w:pageBreakBefore w:val="0"/>
        <w:widowControl w:val="0"/>
        <w:kinsoku/>
        <w:wordWrap/>
        <w:overflowPunct/>
        <w:topLinePunct w:val="0"/>
        <w:autoSpaceDE/>
        <w:autoSpaceDN/>
        <w:bidi w:val="0"/>
        <w:adjustRightInd/>
        <w:snapToGrid/>
        <w:spacing w:afterAutospacing="0" w:line="580" w:lineRule="exact"/>
        <w:ind w:firstLine="648" w:firstLineChars="200"/>
        <w:textAlignment w:val="auto"/>
        <w:rPr>
          <w:rFonts w:hint="eastAsia" w:ascii="仿宋_GB2312" w:hAnsi="仿宋_GB2312" w:eastAsia="仿宋_GB2312" w:cs="仿宋_GB2312"/>
          <w:b/>
          <w:bCs/>
          <w:spacing w:val="0"/>
          <w:sz w:val="32"/>
          <w:szCs w:val="32"/>
        </w:rPr>
      </w:pPr>
    </w:p>
    <w:p>
      <w:pPr>
        <w:keepNext w:val="0"/>
        <w:keepLines w:val="0"/>
        <w:pageBreakBefore w:val="0"/>
        <w:widowControl w:val="0"/>
        <w:kinsoku/>
        <w:wordWrap/>
        <w:overflowPunct/>
        <w:topLinePunct w:val="0"/>
        <w:autoSpaceDE/>
        <w:autoSpaceDN/>
        <w:bidi w:val="0"/>
        <w:adjustRightInd/>
        <w:snapToGrid/>
        <w:spacing w:afterAutospacing="0" w:line="580" w:lineRule="exact"/>
        <w:ind w:firstLine="648"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（一）注重区域协同发展。</w:t>
      </w:r>
      <w:r>
        <w:rPr>
          <w:rFonts w:hint="eastAsia" w:ascii="仿宋_GB2312" w:hAnsi="仿宋_GB2312" w:eastAsia="仿宋_GB2312" w:cs="仿宋_GB2312"/>
          <w:b w:val="0"/>
          <w:bCs w:val="0"/>
          <w:spacing w:val="0"/>
          <w:sz w:val="32"/>
          <w:szCs w:val="32"/>
          <w:lang w:eastAsia="zh-CN"/>
        </w:rPr>
        <w:t>未来一个时期</w:t>
      </w:r>
      <w:r>
        <w:rPr>
          <w:rFonts w:hint="eastAsia" w:ascii="仿宋_GB2312" w:hAnsi="仿宋_GB2312" w:eastAsia="仿宋_GB2312" w:cs="仿宋_GB2312"/>
          <w:b w:val="0"/>
          <w:bCs w:val="0"/>
          <w:spacing w:val="0"/>
          <w:sz w:val="32"/>
          <w:szCs w:val="32"/>
        </w:rPr>
        <w:t>，</w:t>
      </w:r>
      <w:r>
        <w:rPr>
          <w:rFonts w:hint="eastAsia" w:ascii="仿宋_GB2312" w:hAnsi="仿宋_GB2312" w:eastAsia="仿宋_GB2312" w:cs="仿宋_GB2312"/>
          <w:spacing w:val="0"/>
          <w:sz w:val="32"/>
          <w:szCs w:val="32"/>
        </w:rPr>
        <w:t>城市发展将更加凸显城市之间集合发展、联动发展效应，都市圈在城镇化发展过程中将发挥更大的作用和影响力，中心城市和都市圈将成为高质量发展的核心引擎。中心城市与周边城市（镇）同城化发展将不断深入，在市场标准体系统一、基础设施一体高效、公共服务共建共享、产业专业化分工协作、生态环境共保共治、城乡融合发展方面取得新突破。要更加凸显市场配置资源的决定性作用，强化政府在规划政策引领、空间开发管制、公共资源配置、体制机制改革等方面的作用。</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right="0" w:firstLine="648" w:firstLineChars="200"/>
        <w:textAlignment w:val="auto"/>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b/>
          <w:bCs/>
          <w:spacing w:val="0"/>
          <w:sz w:val="32"/>
          <w:szCs w:val="32"/>
          <w:lang w:eastAsia="zh-CN"/>
        </w:rPr>
        <w:t>（二）</w:t>
      </w:r>
      <w:r>
        <w:rPr>
          <w:rFonts w:hint="eastAsia" w:ascii="仿宋_GB2312" w:hAnsi="仿宋_GB2312" w:eastAsia="仿宋_GB2312" w:cs="仿宋_GB2312"/>
          <w:b/>
          <w:bCs/>
          <w:spacing w:val="0"/>
          <w:sz w:val="32"/>
          <w:szCs w:val="32"/>
          <w:lang w:val="en-US" w:eastAsia="zh-CN"/>
        </w:rPr>
        <w:t>加快</w:t>
      </w:r>
      <w:r>
        <w:rPr>
          <w:rFonts w:hint="eastAsia" w:ascii="仿宋_GB2312" w:hAnsi="仿宋_GB2312" w:eastAsia="仿宋_GB2312" w:cs="仿宋_GB2312"/>
          <w:b/>
          <w:bCs/>
          <w:spacing w:val="0"/>
          <w:sz w:val="32"/>
          <w:szCs w:val="32"/>
        </w:rPr>
        <w:t>推动中心城市（区）与组团之间的同城化</w:t>
      </w:r>
      <w:r>
        <w:rPr>
          <w:rFonts w:hint="eastAsia" w:ascii="仿宋_GB2312" w:hAnsi="仿宋_GB2312" w:eastAsia="仿宋_GB2312" w:cs="仿宋_GB2312"/>
          <w:b/>
          <w:bCs/>
          <w:spacing w:val="0"/>
          <w:sz w:val="32"/>
          <w:szCs w:val="32"/>
          <w:lang w:eastAsia="zh-CN"/>
        </w:rPr>
        <w:t>。</w:t>
      </w:r>
      <w:r>
        <w:rPr>
          <w:rFonts w:hint="eastAsia" w:ascii="仿宋_GB2312" w:hAnsi="仿宋_GB2312" w:eastAsia="仿宋_GB2312" w:cs="仿宋_GB2312"/>
          <w:b w:val="0"/>
          <w:bCs w:val="0"/>
          <w:spacing w:val="0"/>
          <w:sz w:val="32"/>
          <w:szCs w:val="32"/>
        </w:rPr>
        <w:t>紧抓都市圈引领城镇化发展的趋势，</w:t>
      </w:r>
      <w:r>
        <w:rPr>
          <w:rFonts w:hint="eastAsia" w:ascii="仿宋_GB2312" w:hAnsi="仿宋_GB2312" w:eastAsia="仿宋_GB2312" w:cs="仿宋_GB2312"/>
          <w:spacing w:val="0"/>
          <w:sz w:val="32"/>
          <w:szCs w:val="32"/>
        </w:rPr>
        <w:t>加快推进中心城区与遂平县、确山县、汝南县实现产业、交通一体化发展，积极推进文化、教育、卫生、体育、科技、社会管理以及基础设施等方面的对接，促进资源共享，形成组团式、生态型、现代化的城市空间格局，实现以大带小、以小补大、相互促进的城市集群优势。</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right="0" w:firstLine="0" w:firstLineChars="0"/>
        <w:jc w:val="center"/>
        <w:textAlignment w:val="auto"/>
        <w:rPr>
          <w:rFonts w:hint="eastAsia" w:ascii="仿宋_GB2312" w:hAnsi="仿宋_GB2312" w:eastAsia="仿宋_GB2312" w:cs="仿宋_GB2312"/>
          <w:b w:val="0"/>
          <w:bCs w:val="0"/>
          <w:spacing w:val="0"/>
          <w:sz w:val="32"/>
          <w:szCs w:val="32"/>
        </w:rPr>
      </w:pPr>
      <w:r>
        <w:rPr>
          <w:rFonts w:hint="eastAsia" w:ascii="仿宋_GB2312" w:hAnsi="仿宋_GB2312" w:eastAsia="仿宋_GB2312" w:cs="仿宋_GB2312"/>
          <w:b w:val="0"/>
          <w:bCs w:val="0"/>
          <w:spacing w:val="0"/>
          <w:sz w:val="32"/>
          <w:szCs w:val="32"/>
          <w:lang w:val="en-US" w:eastAsia="zh-CN"/>
        </w:rPr>
        <w:t xml:space="preserve">第二节 </w:t>
      </w:r>
      <w:r>
        <w:rPr>
          <w:rFonts w:hint="eastAsia" w:ascii="仿宋_GB2312" w:hAnsi="仿宋_GB2312" w:eastAsia="仿宋_GB2312" w:cs="仿宋_GB2312"/>
          <w:b w:val="0"/>
          <w:bCs w:val="0"/>
          <w:spacing w:val="0"/>
          <w:sz w:val="32"/>
          <w:szCs w:val="32"/>
        </w:rPr>
        <w:t>增强中心城区辐射带动作用</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right="0" w:firstLine="648" w:firstLineChars="200"/>
        <w:textAlignment w:val="auto"/>
        <w:rPr>
          <w:rFonts w:hint="eastAsia" w:ascii="仿宋_GB2312" w:hAnsi="仿宋_GB2312" w:eastAsia="仿宋_GB2312" w:cs="仿宋_GB2312"/>
          <w:b/>
          <w:bCs/>
          <w:spacing w:val="0"/>
          <w:sz w:val="32"/>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right="0" w:firstLine="648"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（一）优化中心城区内在结构，壮大中心城区经济实力。</w:t>
      </w:r>
      <w:r>
        <w:rPr>
          <w:rFonts w:hint="eastAsia" w:ascii="仿宋_GB2312" w:hAnsi="仿宋_GB2312" w:eastAsia="仿宋_GB2312" w:cs="仿宋_GB2312"/>
          <w:spacing w:val="0"/>
          <w:sz w:val="32"/>
          <w:szCs w:val="32"/>
        </w:rPr>
        <w:t>根据各区发展基础和资源禀赋，推动以产兴城、依城促产、错位发展，驿城区重点发展装备制造、生活性服务业，打造美丽宜居新天中；市城乡一体化示范区重点发展</w:t>
      </w:r>
      <w:r>
        <w:rPr>
          <w:rFonts w:hint="eastAsia" w:ascii="仿宋_GB2312" w:hAnsi="仿宋_GB2312" w:eastAsia="仿宋_GB2312" w:cs="仿宋_GB2312"/>
          <w:spacing w:val="0"/>
          <w:sz w:val="32"/>
          <w:szCs w:val="32"/>
          <w:lang w:eastAsia="zh-CN"/>
        </w:rPr>
        <w:t>数字经济、</w:t>
      </w:r>
      <w:r>
        <w:rPr>
          <w:rFonts w:hint="eastAsia" w:ascii="仿宋_GB2312" w:hAnsi="仿宋_GB2312" w:eastAsia="仿宋_GB2312" w:cs="仿宋_GB2312"/>
          <w:spacing w:val="0"/>
          <w:sz w:val="32"/>
          <w:szCs w:val="32"/>
        </w:rPr>
        <w:t>高端商务、会展经济、健康养生等现代服务业，形成新的增长极；经济开发区重点发展5G、农产品加工业及生产性服务业，打造产城融合样板区；高新技术产业开发区重点发展电子玻璃、医药化工等先进制造业，打造创新驱动发展先进区。加快“六大片区”建设，完善城市功能，提升城市品位和形象。繁荣商业经济，打造老城区传统商贸圈、北部新区新业态商圈、高铁片区高成长性服务业商圈、东区体验消费商圈、文旅休闲商圈“五大商圈”，培育壮大金融、科技服务、总部、楼宇、数字、现代商贸物流等城市经济业态，推动生产性服务业向专业化和价值链高端延伸、生活性服务业向高品质和多样化升级。</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right="0" w:firstLine="648"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lang w:eastAsia="zh-CN"/>
        </w:rPr>
        <w:t>（二）</w:t>
      </w:r>
      <w:r>
        <w:rPr>
          <w:rFonts w:hint="eastAsia" w:ascii="仿宋_GB2312" w:hAnsi="仿宋_GB2312" w:eastAsia="仿宋_GB2312" w:cs="仿宋_GB2312"/>
          <w:b/>
          <w:bCs/>
          <w:spacing w:val="0"/>
          <w:sz w:val="32"/>
          <w:szCs w:val="32"/>
        </w:rPr>
        <w:t>着力提高中心城区首位度，打造区域经济增长中心。</w:t>
      </w:r>
      <w:r>
        <w:rPr>
          <w:rFonts w:hint="eastAsia" w:ascii="仿宋_GB2312" w:hAnsi="仿宋_GB2312" w:eastAsia="仿宋_GB2312" w:cs="仿宋_GB2312"/>
          <w:spacing w:val="0"/>
          <w:sz w:val="32"/>
          <w:szCs w:val="32"/>
        </w:rPr>
        <w:t>加快户籍制度改革，全面落实居住证制度，全面放开外来人口落户。建设完备的教育、文化娱乐、卫生医疗、体育、公共交通、社会保障等公共服务体系。大力提升城市环境和品质，提高城市柔性化治理和精细化服务水平，提高中心城区对外来人口的吸引力，力争到2025年中心城区常住人口达到150万以上，建成中原城市群中南部和谐宜居、富有特色、充满活力的现代化大城市。</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right="0" w:firstLine="648"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lang w:eastAsia="zh-CN"/>
        </w:rPr>
        <w:t>（三）</w:t>
      </w:r>
      <w:r>
        <w:rPr>
          <w:rFonts w:hint="eastAsia" w:ascii="仿宋_GB2312" w:hAnsi="仿宋_GB2312" w:eastAsia="仿宋_GB2312" w:cs="仿宋_GB2312"/>
          <w:b/>
          <w:bCs/>
          <w:spacing w:val="0"/>
          <w:sz w:val="32"/>
          <w:szCs w:val="32"/>
        </w:rPr>
        <w:t>优化对外通道建设，增强中心城区辐射带动能力。</w:t>
      </w:r>
      <w:r>
        <w:rPr>
          <w:rFonts w:hint="eastAsia" w:ascii="仿宋_GB2312" w:hAnsi="仿宋_GB2312" w:eastAsia="仿宋_GB2312" w:cs="仿宋_GB2312"/>
          <w:spacing w:val="0"/>
          <w:sz w:val="32"/>
          <w:szCs w:val="32"/>
        </w:rPr>
        <w:t>以建设综合交通体系、创建国家物流枢纽城市为目标，积极推进我市航空、铁路、高速公路、国道、省道升级改造等重大交通项目建设，形成以中心城区为核心、以高速公路网为主框架的综合交通体系。加强城市断头路、城市出境路、产业集聚区出口路、旅游道路建设，发挥中心城区对外开放引领和对周边地区产业传递、交通联系、功能分担等重要功能，促进生产要素向周边城镇组团流动，增强中心城区对周边县城的辐射带动能力。</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right="0" w:firstLine="0" w:firstLineChars="0"/>
        <w:jc w:val="center"/>
        <w:textAlignment w:val="auto"/>
        <w:rPr>
          <w:rFonts w:hint="eastAsia" w:ascii="仿宋_GB2312" w:hAnsi="仿宋_GB2312" w:eastAsia="仿宋_GB2312" w:cs="仿宋_GB2312"/>
          <w:b w:val="0"/>
          <w:bCs w:val="0"/>
          <w:spacing w:val="0"/>
          <w:sz w:val="32"/>
          <w:szCs w:val="32"/>
        </w:rPr>
      </w:pPr>
      <w:r>
        <w:rPr>
          <w:rFonts w:hint="eastAsia" w:ascii="仿宋_GB2312" w:hAnsi="仿宋_GB2312" w:eastAsia="仿宋_GB2312" w:cs="仿宋_GB2312"/>
          <w:b w:val="0"/>
          <w:bCs w:val="0"/>
          <w:spacing w:val="0"/>
          <w:sz w:val="32"/>
          <w:szCs w:val="32"/>
          <w:lang w:eastAsia="zh-CN"/>
        </w:rPr>
        <w:t>第三节</w:t>
      </w:r>
      <w:r>
        <w:rPr>
          <w:rFonts w:hint="eastAsia" w:ascii="仿宋_GB2312" w:hAnsi="仿宋_GB2312" w:eastAsia="仿宋_GB2312" w:cs="仿宋_GB2312"/>
          <w:b w:val="0"/>
          <w:bCs w:val="0"/>
          <w:spacing w:val="0"/>
          <w:sz w:val="32"/>
          <w:szCs w:val="32"/>
          <w:lang w:val="en-US" w:eastAsia="zh-CN"/>
        </w:rPr>
        <w:t xml:space="preserve"> </w:t>
      </w:r>
      <w:r>
        <w:rPr>
          <w:rFonts w:hint="eastAsia" w:ascii="仿宋_GB2312" w:hAnsi="仿宋_GB2312" w:eastAsia="仿宋_GB2312" w:cs="仿宋_GB2312"/>
          <w:b w:val="0"/>
          <w:bCs w:val="0"/>
          <w:spacing w:val="0"/>
          <w:sz w:val="32"/>
          <w:szCs w:val="32"/>
        </w:rPr>
        <w:t>推进县域经济高质量发展</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right="0" w:firstLine="648" w:firstLineChars="200"/>
        <w:textAlignment w:val="auto"/>
        <w:rPr>
          <w:rFonts w:hint="eastAsia" w:ascii="仿宋_GB2312" w:hAnsi="仿宋_GB2312" w:eastAsia="仿宋_GB2312" w:cs="仿宋_GB2312"/>
          <w:b/>
          <w:bCs/>
          <w:spacing w:val="0"/>
          <w:sz w:val="32"/>
          <w:szCs w:val="32"/>
          <w:lang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right="0" w:firstLine="648"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lang w:eastAsia="zh-CN"/>
        </w:rPr>
        <w:t>（一）</w:t>
      </w:r>
      <w:r>
        <w:rPr>
          <w:rFonts w:hint="eastAsia" w:ascii="仿宋_GB2312" w:hAnsi="仿宋_GB2312" w:eastAsia="仿宋_GB2312" w:cs="仿宋_GB2312"/>
          <w:b/>
          <w:bCs/>
          <w:spacing w:val="0"/>
          <w:sz w:val="32"/>
          <w:szCs w:val="32"/>
        </w:rPr>
        <w:t>优化县域发展布局，形成县域经济发展新优势。</w:t>
      </w:r>
      <w:r>
        <w:rPr>
          <w:rFonts w:hint="eastAsia" w:ascii="仿宋_GB2312" w:hAnsi="仿宋_GB2312" w:eastAsia="仿宋_GB2312" w:cs="仿宋_GB2312"/>
          <w:spacing w:val="0"/>
          <w:sz w:val="32"/>
          <w:szCs w:val="32"/>
        </w:rPr>
        <w:t>坚持开展县域治理“三起来”示范县创建，打造产业先进、充满活力、城乡繁荣、生态优美、人民富裕的强县。坚持产业为基、集聚发展，发挥各县比较优势，优化县域发展布局，推动遂平县突出转型提质，与中心城区产城融合发展；推动其它8县突出特色高效，做强优势产业集群，提升发展能级，争创全省县域治理“三起来”示范县。深入实施百城建设提质工程和文明城市创建，突出抓好县城建设，实施宜居宜业县城优化工程，统筹新城区开发扩容、老城区有机更新、产业集聚区功能完善，促进餐饮、旅游、教卫、文娱、展会、购物“六大消费”，完善景点、街区、商圈、学校、楼宇、交通、市政“七大载体”,构建以县城为龙头、中心镇为节点、乡村为腹地的县域发展体系。健全县域经济高质量发展组织领导、扶持引导、奖惩激励等机制，完善区域协作、资源调配、收益共享等机制，切实抓好粮食提质、产业提级、环境提标、治理提效、文化提振、人才提优、改革提速、收入提升“八项任务”，扎实推进“五大振兴”，支持各县申报国家乡村振兴重点帮扶县，激发县域经济高质量发展内生动力。到2025年，全市县域经济发展质量和效益明显提高，城镇综合承载能力持续增强，确保实现“四高五提五突破”，即县域生产总值、城镇化率、城乡居民收入、二三产业比重增幅高于全省平均水平，产业发展集聚度、营商环境便利度、城乡人居环境、县级基本财力、基础设施水平显著提升，现代产业体系、新型城镇体系、科技创新体系、城乡公共服务体系、生态环境治理体系建设全面突破。</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right="0" w:firstLine="648"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lang w:eastAsia="zh-CN"/>
        </w:rPr>
        <w:t>（二）</w:t>
      </w:r>
      <w:r>
        <w:rPr>
          <w:rFonts w:hint="eastAsia" w:ascii="仿宋_GB2312" w:hAnsi="仿宋_GB2312" w:eastAsia="仿宋_GB2312" w:cs="仿宋_GB2312"/>
          <w:b/>
          <w:bCs/>
          <w:spacing w:val="0"/>
          <w:sz w:val="32"/>
          <w:szCs w:val="32"/>
        </w:rPr>
        <w:t>积极打造美丽县城，提升县级城市现代化水平。</w:t>
      </w:r>
      <w:r>
        <w:rPr>
          <w:rFonts w:hint="eastAsia" w:ascii="仿宋_GB2312" w:hAnsi="仿宋_GB2312" w:eastAsia="仿宋_GB2312" w:cs="仿宋_GB2312"/>
          <w:spacing w:val="0"/>
          <w:sz w:val="32"/>
          <w:szCs w:val="32"/>
        </w:rPr>
        <w:t>高起点编制国土空间规划，全面编制详细规划、专项规划，强化城市设计管控，以百城建设提质工程和文明城市创建为抓手，围绕改善人居环境、提升城市品质、增强城市活力、塑造城市特色，打造美丽县城，2025年前各县县城成功创建国家园林县城和文明城市。统筹推进县城新区开发、老城区提升改造和产业集聚区建设，完善提升基础设施和公共服务设施，加快推进环境卫生设施提级扩能、市政公用设施提挡升级、公共服务设施提标扩面、产业配套设施提质增效等专项行动，增强以城带乡能力。加强县城精细化管理，加快推进智慧县城建设，提高县城集聚产业、集中人口的能力，加快推进农村人口市民化，各县年常住人口城镇化率增长2个百分点左右，户籍人口城镇化率增长1.2个百分点左右。到2025年，新蔡、泌阳、平舆县城常住人口超过35万人，上蔡县城常住人口超过30万人，其他县城超过25万人，平舆县城、泌阳县城建成市域副中心城市。</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right="0" w:firstLine="0" w:firstLineChars="0"/>
        <w:jc w:val="center"/>
        <w:textAlignment w:val="auto"/>
        <w:rPr>
          <w:rFonts w:hint="eastAsia" w:ascii="仿宋_GB2312" w:hAnsi="仿宋_GB2312" w:eastAsia="仿宋_GB2312" w:cs="仿宋_GB2312"/>
          <w:b w:val="0"/>
          <w:bCs w:val="0"/>
          <w:spacing w:val="0"/>
          <w:sz w:val="32"/>
          <w:szCs w:val="32"/>
        </w:rPr>
      </w:pPr>
      <w:r>
        <w:rPr>
          <w:rFonts w:hint="eastAsia" w:ascii="仿宋_GB2312" w:hAnsi="仿宋_GB2312" w:eastAsia="仿宋_GB2312" w:cs="仿宋_GB2312"/>
          <w:b w:val="0"/>
          <w:bCs w:val="0"/>
          <w:spacing w:val="0"/>
          <w:sz w:val="32"/>
          <w:szCs w:val="32"/>
          <w:lang w:eastAsia="zh-CN"/>
        </w:rPr>
        <w:t>第四节</w:t>
      </w:r>
      <w:r>
        <w:rPr>
          <w:rFonts w:hint="eastAsia" w:ascii="仿宋_GB2312" w:hAnsi="仿宋_GB2312" w:eastAsia="仿宋_GB2312" w:cs="仿宋_GB2312"/>
          <w:b w:val="0"/>
          <w:bCs w:val="0"/>
          <w:spacing w:val="0"/>
          <w:sz w:val="32"/>
          <w:szCs w:val="32"/>
          <w:lang w:val="en-US" w:eastAsia="zh-CN"/>
        </w:rPr>
        <w:t xml:space="preserve"> </w:t>
      </w:r>
      <w:r>
        <w:rPr>
          <w:rFonts w:hint="eastAsia" w:ascii="仿宋_GB2312" w:hAnsi="仿宋_GB2312" w:eastAsia="仿宋_GB2312" w:cs="仿宋_GB2312"/>
          <w:b w:val="0"/>
          <w:bCs w:val="0"/>
          <w:spacing w:val="0"/>
          <w:sz w:val="32"/>
          <w:szCs w:val="32"/>
        </w:rPr>
        <w:t>坚持城乡融合协调发展</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right="0" w:firstLine="648"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加强重点城镇和特色小镇规划建设。</w:t>
      </w:r>
      <w:r>
        <w:rPr>
          <w:rFonts w:hint="eastAsia" w:ascii="仿宋_GB2312" w:hAnsi="仿宋_GB2312" w:eastAsia="仿宋_GB2312" w:cs="仿宋_GB2312"/>
          <w:spacing w:val="0"/>
          <w:sz w:val="32"/>
          <w:szCs w:val="32"/>
        </w:rPr>
        <w:t>依托各县独特的历史文化、传统民俗、特色物产、奇山秀水等资源，按照“多规合一”的要求，科学编制特色小镇和特色小城镇建设规划，大力推进全域旅游示范镇规划建设，探索建设乡镇级产业集聚区，实现产业建镇，着力打造以县城为龙头、小城镇为节点、乡村为腹地的发展新格局。做精做强主导特色产业和主导功能，各县因地制宜发展先进制造类、现代服务类、农业田园类等多类型特色小镇，打造形成一批工业发达型、特定功能型、城乡融合型特色小城镇，选择30个左右的重点镇因地制宜，分类指导，完善基础设施和公共服务设施，提升服务功能，使之成为集聚产业和人口、服务“三农”、实现农村振兴的重要载体。支持有条件的镇结合自身的自然资源、历史传统、民风民俗、地域文化，引导我市12个特色小城镇建设规范健康发展，培育、创建一批功能各异、特色鲜明、环境优美、宜居宜业宜游的特色小镇。</w:t>
      </w:r>
    </w:p>
    <w:p>
      <w:pPr>
        <w:pStyle w:val="2"/>
        <w:keepNext w:val="0"/>
        <w:keepLines w:val="0"/>
        <w:pageBreakBefore w:val="0"/>
        <w:kinsoku/>
        <w:wordWrap/>
        <w:overflowPunct/>
        <w:topLinePunct w:val="0"/>
        <w:autoSpaceDE/>
        <w:autoSpaceDN/>
        <w:bidi w:val="0"/>
        <w:adjustRightInd/>
        <w:snapToGrid/>
        <w:spacing w:afterAutospacing="0" w:line="580" w:lineRule="exact"/>
        <w:ind w:firstLine="732" w:firstLineChars="300"/>
        <w:jc w:val="both"/>
        <w:rPr>
          <w:rFonts w:hint="eastAsia" w:ascii="仿宋_GB2312" w:hAnsi="仿宋_GB2312" w:eastAsia="仿宋_GB2312" w:cs="仿宋_GB2312"/>
          <w:spacing w:val="0"/>
          <w:sz w:val="24"/>
          <w:szCs w:val="24"/>
        </w:rPr>
      </w:pPr>
      <w:r>
        <w:rPr>
          <w:rFonts w:hint="eastAsia" w:ascii="仿宋_GB2312" w:hAnsi="仿宋_GB2312" w:eastAsia="仿宋_GB2312" w:cs="仿宋_GB2312"/>
          <w:spacing w:val="0"/>
          <w:sz w:val="24"/>
          <w:szCs w:val="24"/>
        </w:rPr>
        <w:t>市域国土空间总体格局规划图</w:t>
      </w:r>
      <w:r>
        <w:rPr>
          <w:rFonts w:hint="eastAsia" w:ascii="仿宋_GB2312" w:hAnsi="仿宋_GB2312" w:eastAsia="仿宋_GB2312" w:cs="仿宋_GB2312"/>
          <w:spacing w:val="0"/>
          <w:sz w:val="24"/>
          <w:szCs w:val="24"/>
          <w:lang w:eastAsia="zh-CN"/>
        </w:rPr>
        <w:drawing>
          <wp:anchor distT="0" distB="0" distL="114300" distR="114300" simplePos="0" relativeHeight="251658240" behindDoc="0" locked="0" layoutInCell="1" allowOverlap="1">
            <wp:simplePos x="0" y="0"/>
            <wp:positionH relativeFrom="column">
              <wp:posOffset>-74930</wp:posOffset>
            </wp:positionH>
            <wp:positionV relativeFrom="paragraph">
              <wp:posOffset>214630</wp:posOffset>
            </wp:positionV>
            <wp:extent cx="5878195" cy="3594735"/>
            <wp:effectExtent l="0" t="0" r="8255" b="5715"/>
            <wp:wrapTopAndBottom/>
            <wp:docPr id="1" name="图片 1" descr="截图-2023年9月20日 9时0分46秒"/>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截图-2023年9月20日 9时0分46秒"/>
                    <pic:cNvPicPr>
                      <a:picLocks noChangeAspect="true"/>
                    </pic:cNvPicPr>
                  </pic:nvPicPr>
                  <pic:blipFill>
                    <a:blip r:embed="rId6"/>
                    <a:stretch>
                      <a:fillRect/>
                    </a:stretch>
                  </pic:blipFill>
                  <pic:spPr>
                    <a:xfrm>
                      <a:off x="0" y="0"/>
                      <a:ext cx="5878195" cy="35947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left="0" w:right="0" w:firstLine="0" w:firstLineChars="0"/>
        <w:jc w:val="center"/>
        <w:textAlignment w:val="auto"/>
        <w:rPr>
          <w:rFonts w:hint="eastAsia" w:ascii="仿宋_GB2312" w:hAnsi="仿宋_GB2312" w:eastAsia="仿宋_GB2312" w:cs="仿宋_GB2312"/>
          <w:spacing w:val="0"/>
          <w:sz w:val="32"/>
          <w:szCs w:val="32"/>
        </w:rPr>
      </w:pP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right="0" w:firstLine="0" w:firstLineChars="0"/>
        <w:rPr>
          <w:rFonts w:hint="eastAsia" w:ascii="仿宋_GB2312" w:hAnsi="仿宋_GB2312" w:eastAsia="仿宋_GB2312" w:cs="仿宋_GB2312"/>
          <w:spacing w:val="0"/>
          <w:sz w:val="32"/>
          <w:szCs w:val="32"/>
        </w:rPr>
      </w:pPr>
      <w:r>
        <w:rPr>
          <w:rFonts w:hint="eastAsia" w:ascii="仿宋_GB2312" w:hAnsi="仿宋_GB2312" w:eastAsia="仿宋_GB2312" w:cs="仿宋_GB2312"/>
          <w:b/>
          <w:i w:val="0"/>
          <w:caps w:val="0"/>
          <w:color w:val="000000"/>
          <w:spacing w:val="0"/>
          <w:sz w:val="32"/>
          <w:szCs w:val="32"/>
          <w:shd w:val="clear" w:fill="FFFFFF"/>
          <w:vertAlign w:val="baseline"/>
        </w:rPr>
        <w:t>第</w:t>
      </w:r>
      <w:r>
        <w:rPr>
          <w:rFonts w:hint="eastAsia" w:ascii="仿宋_GB2312" w:hAnsi="仿宋_GB2312" w:eastAsia="仿宋_GB2312" w:cs="仿宋_GB2312"/>
          <w:b/>
          <w:i w:val="0"/>
          <w:caps w:val="0"/>
          <w:color w:val="000000"/>
          <w:spacing w:val="0"/>
          <w:sz w:val="32"/>
          <w:szCs w:val="32"/>
          <w:shd w:val="clear" w:fill="FFFFFF"/>
          <w:vertAlign w:val="baseline"/>
          <w:lang w:eastAsia="zh-CN"/>
        </w:rPr>
        <w:t>四</w:t>
      </w:r>
      <w:r>
        <w:rPr>
          <w:rFonts w:hint="eastAsia" w:ascii="仿宋_GB2312" w:hAnsi="仿宋_GB2312" w:eastAsia="仿宋_GB2312" w:cs="仿宋_GB2312"/>
          <w:b/>
          <w:i w:val="0"/>
          <w:caps w:val="0"/>
          <w:color w:val="000000"/>
          <w:spacing w:val="0"/>
          <w:sz w:val="32"/>
          <w:szCs w:val="32"/>
          <w:shd w:val="clear" w:fill="FFFFFF"/>
          <w:vertAlign w:val="baseline"/>
        </w:rPr>
        <w:t>章</w:t>
      </w:r>
      <w:r>
        <w:rPr>
          <w:rFonts w:hint="eastAsia" w:ascii="仿宋_GB2312" w:hAnsi="仿宋_GB2312" w:eastAsia="仿宋_GB2312" w:cs="仿宋_GB2312"/>
          <w:b/>
          <w:i w:val="0"/>
          <w:caps w:val="0"/>
          <w:color w:val="000000"/>
          <w:spacing w:val="0"/>
          <w:sz w:val="32"/>
          <w:szCs w:val="32"/>
          <w:shd w:val="clear" w:fill="FFFFFF"/>
          <w:vertAlign w:val="baseline"/>
          <w:lang w:val="en-US" w:eastAsia="zh-CN"/>
        </w:rPr>
        <w:t xml:space="preserve">  </w:t>
      </w:r>
      <w:r>
        <w:rPr>
          <w:rFonts w:hint="eastAsia" w:ascii="仿宋_GB2312" w:hAnsi="仿宋_GB2312" w:eastAsia="仿宋_GB2312" w:cs="仿宋_GB2312"/>
          <w:spacing w:val="0"/>
          <w:sz w:val="32"/>
          <w:szCs w:val="32"/>
        </w:rPr>
        <w:t>打好粮食“王牌”</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做强“农头工尾”</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both"/>
        <w:textAlignment w:val="baseline"/>
        <w:rPr>
          <w:rFonts w:hint="eastAsia" w:ascii="仿宋_GB2312" w:hAnsi="仿宋_GB2312" w:eastAsia="仿宋_GB2312" w:cs="仿宋_GB2312"/>
          <w:b w:val="0"/>
          <w:i w:val="0"/>
          <w:caps w:val="0"/>
          <w:color w:val="000000"/>
          <w:spacing w:val="0"/>
          <w:sz w:val="32"/>
          <w:szCs w:val="32"/>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shd w:val="clear" w:fill="FFFFFF"/>
          <w:vertAlign w:val="baseline"/>
        </w:rPr>
        <w:t>以实施乡村振兴战略为引领，以“六高六化”（产品质量高、产业效益高、生产效率高、经营者素质高、市场竞争力高、农民收入高，布局区域化、生产标准化、经营规模化、发展产业化、方式绿色化、产品品牌化）为方向，以打造“四区四中心”（粮食生产核心区、农业现代化示范区、城乡融合发展试验区、农业绿色发展先行区，农业科技研发中心、农业大数据中心、农产品及农机交易中心、农产品仓储物流中心）为目标，以国际化视野、标准、技术和系统化思维、工业化理念，以中国农加工投洽会、国际农产品加工产业园“双轮”驱动，高标准建设“国际农都”，</w:t>
      </w:r>
      <w:r>
        <w:rPr>
          <w:rFonts w:hint="eastAsia" w:ascii="仿宋_GB2312" w:hAnsi="仿宋_GB2312" w:eastAsia="仿宋_GB2312" w:cs="仿宋_GB2312"/>
          <w:b w:val="0"/>
          <w:i w:val="0"/>
          <w:caps w:val="0"/>
          <w:color w:val="000000"/>
          <w:spacing w:val="0"/>
          <w:sz w:val="32"/>
          <w:szCs w:val="32"/>
          <w:shd w:val="clear" w:fill="FFFFFF"/>
          <w:vertAlign w:val="baseline"/>
          <w:lang w:eastAsia="zh-CN"/>
        </w:rPr>
        <w:t>高质量发展现代农业</w:t>
      </w:r>
      <w:r>
        <w:rPr>
          <w:rFonts w:hint="eastAsia" w:ascii="仿宋_GB2312" w:hAnsi="仿宋_GB2312" w:eastAsia="仿宋_GB2312" w:cs="仿宋_GB2312"/>
          <w:b w:val="0"/>
          <w:i w:val="0"/>
          <w:caps w:val="0"/>
          <w:color w:val="000000"/>
          <w:spacing w:val="0"/>
          <w:sz w:val="32"/>
          <w:szCs w:val="32"/>
          <w:shd w:val="clear" w:fill="FFFFFF"/>
          <w:vertAlign w:val="baseline"/>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baseline"/>
        <w:rPr>
          <w:rFonts w:hint="eastAsia" w:ascii="仿宋_GB2312" w:hAnsi="仿宋_GB2312" w:eastAsia="仿宋_GB2312" w:cs="仿宋_GB2312"/>
          <w:b w:val="0"/>
          <w:bCs/>
          <w:i w:val="0"/>
          <w:caps w:val="0"/>
          <w:color w:val="000000"/>
          <w:spacing w:val="0"/>
          <w:sz w:val="32"/>
          <w:szCs w:val="32"/>
          <w:shd w:val="clear" w:fill="FFFFFF"/>
          <w:vertAlign w:val="baseline"/>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baseline"/>
        <w:rPr>
          <w:rFonts w:hint="eastAsia" w:ascii="仿宋_GB2312" w:hAnsi="仿宋_GB2312" w:eastAsia="仿宋_GB2312" w:cs="仿宋_GB2312"/>
          <w:b w:val="0"/>
          <w:bCs/>
          <w:i w:val="0"/>
          <w:caps w:val="0"/>
          <w:color w:val="000000"/>
          <w:spacing w:val="0"/>
          <w:sz w:val="32"/>
          <w:szCs w:val="32"/>
        </w:rPr>
      </w:pPr>
      <w:r>
        <w:rPr>
          <w:rFonts w:hint="eastAsia" w:ascii="仿宋_GB2312" w:hAnsi="仿宋_GB2312" w:eastAsia="仿宋_GB2312" w:cs="仿宋_GB2312"/>
          <w:b w:val="0"/>
          <w:bCs/>
          <w:i w:val="0"/>
          <w:caps w:val="0"/>
          <w:color w:val="000000"/>
          <w:spacing w:val="0"/>
          <w:sz w:val="32"/>
          <w:szCs w:val="32"/>
          <w:shd w:val="clear" w:fill="FFFFFF"/>
          <w:vertAlign w:val="baseline"/>
        </w:rPr>
        <w:t>第一节完善现代农业</w:t>
      </w:r>
      <w:r>
        <w:rPr>
          <w:rFonts w:hint="eastAsia" w:ascii="仿宋_GB2312" w:hAnsi="仿宋_GB2312" w:eastAsia="仿宋_GB2312" w:cs="仿宋_GB2312"/>
          <w:b w:val="0"/>
          <w:bCs/>
          <w:i w:val="0"/>
          <w:caps w:val="0"/>
          <w:color w:val="000000"/>
          <w:spacing w:val="0"/>
          <w:sz w:val="32"/>
          <w:szCs w:val="32"/>
          <w:shd w:val="clear" w:fill="FFFFFF"/>
          <w:vertAlign w:val="baseline"/>
          <w:lang w:eastAsia="zh-CN"/>
        </w:rPr>
        <w:t>服务</w:t>
      </w:r>
      <w:r>
        <w:rPr>
          <w:rFonts w:hint="eastAsia" w:ascii="仿宋_GB2312" w:hAnsi="仿宋_GB2312" w:eastAsia="仿宋_GB2312" w:cs="仿宋_GB2312"/>
          <w:b w:val="0"/>
          <w:bCs/>
          <w:i w:val="0"/>
          <w:caps w:val="0"/>
          <w:color w:val="000000"/>
          <w:spacing w:val="0"/>
          <w:sz w:val="32"/>
          <w:szCs w:val="32"/>
          <w:shd w:val="clear" w:fill="FFFFFF"/>
          <w:vertAlign w:val="baseline"/>
        </w:rPr>
        <w:t>体系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bCs/>
          <w:i w:val="0"/>
          <w:caps w:val="0"/>
          <w:color w:val="000000"/>
          <w:spacing w:val="0"/>
          <w:sz w:val="32"/>
          <w:szCs w:val="32"/>
          <w:shd w:val="clear" w:fill="FFFFFF"/>
          <w:vertAlign w:val="baseline"/>
          <w:lang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bCs/>
          <w:i w:val="0"/>
          <w:caps w:val="0"/>
          <w:color w:val="000000"/>
          <w:spacing w:val="0"/>
          <w:sz w:val="32"/>
          <w:szCs w:val="32"/>
          <w:shd w:val="clear" w:fill="FFFFFF"/>
          <w:vertAlign w:val="baseline"/>
          <w:lang w:eastAsia="zh-CN"/>
        </w:rPr>
        <w:t>（一）</w:t>
      </w:r>
      <w:r>
        <w:rPr>
          <w:rFonts w:hint="eastAsia" w:ascii="仿宋_GB2312" w:hAnsi="仿宋_GB2312" w:eastAsia="仿宋_GB2312" w:cs="仿宋_GB2312"/>
          <w:b/>
          <w:bCs/>
          <w:i w:val="0"/>
          <w:caps w:val="0"/>
          <w:color w:val="000000"/>
          <w:spacing w:val="0"/>
          <w:sz w:val="32"/>
          <w:szCs w:val="32"/>
          <w:shd w:val="clear" w:fill="FFFFFF"/>
          <w:vertAlign w:val="baseline"/>
        </w:rPr>
        <w:t>加强农业科技社会化服务体系建设。</w:t>
      </w:r>
      <w:r>
        <w:rPr>
          <w:rFonts w:hint="eastAsia" w:ascii="仿宋_GB2312" w:hAnsi="仿宋_GB2312" w:eastAsia="仿宋_GB2312" w:cs="仿宋_GB2312"/>
          <w:b w:val="0"/>
          <w:i w:val="0"/>
          <w:caps w:val="0"/>
          <w:color w:val="000000"/>
          <w:spacing w:val="0"/>
          <w:sz w:val="32"/>
          <w:szCs w:val="32"/>
          <w:shd w:val="clear" w:fill="FFFFFF"/>
          <w:vertAlign w:val="baseline"/>
        </w:rPr>
        <w:t>充分发挥公共服务机构作用，加快构建公益性服务与经营性服务相结合、专项服务与综合服务相协调的新型农业社会化服务体系。加大农业科技研究，增强公益性服务机构能力，加强植保、测土配方施肥、水利技术推广、基层农技推广及农村经营管理体系建设，完善服务内容、提高服务能力，理顺管理体制，增强基层服务能力。加强农产品质量安全体系和农产品流通体系建设，加快建设流通成本低、运行效率高的农产品营销网络。加强气象灾害监测预警，强化气象防灾减灾体系建设，提升气象防灾服务能力。完善农技推广机构服务，建立健全高校和科研院所农业科技成果转移转化机制，鼓励供销合作社发展“农资+”技术服务推广模式，推动农资销售与技术服务有机结合。引导和支持企业开展农业科技服务，探索并推广“技物结合”“技术托管”等创新服务模式。探索“互联网+”农业科技服务新手段，提高服务的精准化、智能化、网络化水平。构建开放协同高效的农业社会化服务网络，提升农业科技服务信息化水平。</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bCs/>
          <w:i w:val="0"/>
          <w:caps w:val="0"/>
          <w:color w:val="000000"/>
          <w:spacing w:val="0"/>
          <w:sz w:val="32"/>
          <w:szCs w:val="32"/>
          <w:shd w:val="clear" w:fill="FFFFFF"/>
          <w:vertAlign w:val="baseline"/>
          <w:lang w:eastAsia="zh-CN"/>
        </w:rPr>
        <w:t>（二）</w:t>
      </w:r>
      <w:r>
        <w:rPr>
          <w:rFonts w:hint="eastAsia" w:ascii="仿宋_GB2312" w:hAnsi="仿宋_GB2312" w:eastAsia="仿宋_GB2312" w:cs="仿宋_GB2312"/>
          <w:b/>
          <w:bCs/>
          <w:i w:val="0"/>
          <w:caps w:val="0"/>
          <w:color w:val="000000"/>
          <w:spacing w:val="0"/>
          <w:sz w:val="32"/>
          <w:szCs w:val="32"/>
          <w:shd w:val="clear" w:fill="FFFFFF"/>
          <w:vertAlign w:val="baseline"/>
        </w:rPr>
        <w:t>积极发展新型农业经营主体。</w:t>
      </w:r>
      <w:r>
        <w:rPr>
          <w:rFonts w:hint="eastAsia" w:ascii="仿宋_GB2312" w:hAnsi="仿宋_GB2312" w:eastAsia="仿宋_GB2312" w:cs="仿宋_GB2312"/>
          <w:b w:val="0"/>
          <w:i w:val="0"/>
          <w:caps w:val="0"/>
          <w:color w:val="000000"/>
          <w:spacing w:val="0"/>
          <w:sz w:val="32"/>
          <w:szCs w:val="32"/>
          <w:shd w:val="clear" w:fill="FFFFFF"/>
          <w:vertAlign w:val="baseline"/>
        </w:rPr>
        <w:t>推广企业引领、农民合作社为纽带、中小企业集群发展、家庭农场和种养大户联动发展等农业经营组织模式，提高农民组织化程度。加快发展农业产业化龙头企业，鼓励建设全产业链企业集团，积极吸引国内龙头企业在我市建立生产加工基地或区域性总部，到2025年市级以上农业产业化重点龙头企业发展到450家，培育农业产业化联合体50个以上。加快发展农业经济合作组织，提高各类农民专业合作社对农户的辐射带动能力。加快农村产权制度改革，切实破解新型农业经营主体资金短缺瓶颈。积极培养农村科技骨干和实用人才，加快培养一支有文化、懂技术、会经营的高素质农民队伍，建立完善的高素质农民培育制度体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bCs/>
          <w:i w:val="0"/>
          <w:caps w:val="0"/>
          <w:color w:val="000000"/>
          <w:spacing w:val="0"/>
          <w:sz w:val="32"/>
          <w:szCs w:val="32"/>
          <w:shd w:val="clear" w:fill="FFFFFF"/>
          <w:vertAlign w:val="baseline"/>
          <w:lang w:eastAsia="zh-CN"/>
        </w:rPr>
        <w:t>（三）</w:t>
      </w:r>
      <w:r>
        <w:rPr>
          <w:rFonts w:hint="eastAsia" w:ascii="仿宋_GB2312" w:hAnsi="仿宋_GB2312" w:eastAsia="仿宋_GB2312" w:cs="仿宋_GB2312"/>
          <w:b/>
          <w:bCs/>
          <w:i w:val="0"/>
          <w:caps w:val="0"/>
          <w:color w:val="000000"/>
          <w:spacing w:val="0"/>
          <w:sz w:val="32"/>
          <w:szCs w:val="32"/>
          <w:shd w:val="clear" w:fill="FFFFFF"/>
          <w:vertAlign w:val="baseline"/>
        </w:rPr>
        <w:t>推进多种形式的农业适度规模经营。</w:t>
      </w:r>
      <w:r>
        <w:rPr>
          <w:rFonts w:hint="eastAsia" w:ascii="仿宋_GB2312" w:hAnsi="仿宋_GB2312" w:eastAsia="仿宋_GB2312" w:cs="仿宋_GB2312"/>
          <w:b w:val="0"/>
          <w:i w:val="0"/>
          <w:caps w:val="0"/>
          <w:color w:val="000000"/>
          <w:spacing w:val="0"/>
          <w:sz w:val="32"/>
          <w:szCs w:val="32"/>
          <w:shd w:val="clear" w:fill="FFFFFF"/>
          <w:vertAlign w:val="baseline"/>
        </w:rPr>
        <w:t>按照“所有权、承包权、经营权”三权分置、经营权流转的思路，鼓励和引导农村承包土地经营权向专业大户、家庭农场、农民合作社有序流转，发展多种形式规模经营。加快建立土地流转服务平台和市县乡村四级管理服务网络，进一步完善村有服务站点、乡镇有流转中心、县有交易市场的流转服务体系。加强农村土地承包经营纠纷调解仲裁体系建设，健全乡村调解、县级仲裁、司法保障的纠纷调处机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center"/>
        <w:textAlignment w:val="baseline"/>
        <w:rPr>
          <w:rFonts w:hint="eastAsia" w:ascii="仿宋_GB2312" w:hAnsi="仿宋_GB2312" w:eastAsia="仿宋_GB2312" w:cs="仿宋_GB2312"/>
          <w:b w:val="0"/>
          <w:bCs/>
          <w:i w:val="0"/>
          <w:caps w:val="0"/>
          <w:color w:val="000000"/>
          <w:spacing w:val="0"/>
          <w:sz w:val="32"/>
          <w:szCs w:val="32"/>
        </w:rPr>
      </w:pPr>
      <w:r>
        <w:rPr>
          <w:rFonts w:hint="eastAsia" w:ascii="仿宋_GB2312" w:hAnsi="仿宋_GB2312" w:eastAsia="仿宋_GB2312" w:cs="仿宋_GB2312"/>
          <w:b w:val="0"/>
          <w:bCs/>
          <w:i w:val="0"/>
          <w:caps w:val="0"/>
          <w:color w:val="000000"/>
          <w:spacing w:val="0"/>
          <w:sz w:val="32"/>
          <w:szCs w:val="32"/>
          <w:shd w:val="clear" w:fill="FFFFFF"/>
          <w:vertAlign w:val="baseline"/>
        </w:rPr>
        <w:t>第二节推进农业产业多链同构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shd w:val="clear" w:fill="FFFFFF"/>
          <w:vertAlign w:val="baseline"/>
        </w:rPr>
        <w:t>以“粮头食尾”“农头工尾”为抓手，延伸产业链、提升价值链、打造供应链、部署创新链、完善政策链，推进农产品精深加工，壮大肉、面、油脂、乳、果蔬制品等产业集群，加强粮食加工龙头企业培育，推动“国人粮仓”迈向“国人餐桌”。开展农业全产业链科技攻关，加快农业科技成果转化应用。推进优质粮食工程，加强优质粮油品种研发推广，打造“天中”品牌。推广绿色种植和收储新技术，完善农产品仓储保鲜和粮油食品冷链物流体系。加快发展粮油直采直供模式，提升收储调控能力。充分发挥中国（驻马店）国际农产品加工产业园的聚核作用，推动“四基地一中心”形成规模，打造“全国一流、世界领先”农产品加工业“硅谷”。</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baseline"/>
        <w:rPr>
          <w:rFonts w:hint="eastAsia" w:ascii="仿宋_GB2312" w:hAnsi="仿宋_GB2312" w:eastAsia="仿宋_GB2312" w:cs="仿宋_GB2312"/>
          <w:b w:val="0"/>
          <w:bCs/>
          <w:i w:val="0"/>
          <w:caps w:val="0"/>
          <w:color w:val="000000"/>
          <w:spacing w:val="0"/>
          <w:sz w:val="32"/>
          <w:szCs w:val="32"/>
        </w:rPr>
      </w:pPr>
      <w:r>
        <w:rPr>
          <w:rFonts w:hint="eastAsia" w:ascii="仿宋_GB2312" w:hAnsi="仿宋_GB2312" w:eastAsia="仿宋_GB2312" w:cs="仿宋_GB2312"/>
          <w:b w:val="0"/>
          <w:bCs/>
          <w:i w:val="0"/>
          <w:caps w:val="0"/>
          <w:color w:val="000000"/>
          <w:spacing w:val="0"/>
          <w:sz w:val="32"/>
          <w:szCs w:val="32"/>
          <w:shd w:val="clear" w:fill="FFFFFF"/>
          <w:vertAlign w:val="baseline"/>
        </w:rPr>
        <w:t>第三节做大做强高效种养业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shd w:val="clear" w:fill="FFFFFF"/>
          <w:vertAlign w:val="baseline"/>
        </w:rPr>
        <w:t>调整优化种养业结构，建设一批优势特色农林牧渔产品基地，做大做强现代高效畜牧业，打造“中国渔都”“中国牛城”“中部奶都”“中国花生之都”等特色品牌，建设现代农业发展示范区。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bCs/>
          <w:i w:val="0"/>
          <w:caps w:val="0"/>
          <w:color w:val="000000"/>
          <w:spacing w:val="0"/>
          <w:sz w:val="32"/>
          <w:szCs w:val="32"/>
          <w:shd w:val="clear" w:fill="FFFFFF"/>
          <w:vertAlign w:val="baseline"/>
          <w:lang w:eastAsia="zh-CN"/>
        </w:rPr>
        <w:t>（一）</w:t>
      </w:r>
      <w:r>
        <w:rPr>
          <w:rFonts w:hint="eastAsia" w:ascii="仿宋_GB2312" w:hAnsi="仿宋_GB2312" w:eastAsia="仿宋_GB2312" w:cs="仿宋_GB2312"/>
          <w:b/>
          <w:bCs/>
          <w:i w:val="0"/>
          <w:caps w:val="0"/>
          <w:color w:val="000000"/>
          <w:spacing w:val="0"/>
          <w:sz w:val="32"/>
          <w:szCs w:val="32"/>
          <w:shd w:val="clear" w:fill="FFFFFF"/>
          <w:vertAlign w:val="baseline"/>
        </w:rPr>
        <w:t>实施农业提质增效行动。</w:t>
      </w:r>
      <w:r>
        <w:rPr>
          <w:rFonts w:hint="eastAsia" w:ascii="仿宋_GB2312" w:hAnsi="仿宋_GB2312" w:eastAsia="仿宋_GB2312" w:cs="仿宋_GB2312"/>
          <w:b w:val="0"/>
          <w:i w:val="0"/>
          <w:caps w:val="0"/>
          <w:color w:val="000000"/>
          <w:spacing w:val="0"/>
          <w:sz w:val="32"/>
          <w:szCs w:val="32"/>
          <w:shd w:val="clear" w:fill="FFFFFF"/>
          <w:vertAlign w:val="baseline"/>
        </w:rPr>
        <w:t>以区域化、标准化、规模化、产业化、绿色化、品牌化为重点，大力发展优质小麦、优质花生、优质白芝麻、优质食用菌、优质林果、优质草畜等，优质小麦面积发展到650万亩、优质花生稳定在500万亩以上、优质白芝麻稳定在85万亩以上，蔬菜播种面积发展到180万亩，食用菌生产规模达到7亿袋，鲜品总产达到100万吨，水产品产量达到11万吨，优质林果达到45万亩以上。到2025年，省知名农业品牌达到80个以上，“三品一标”农产品品牌达到350个以上。</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bCs/>
          <w:i w:val="0"/>
          <w:caps w:val="0"/>
          <w:color w:val="000000"/>
          <w:spacing w:val="0"/>
          <w:sz w:val="32"/>
          <w:szCs w:val="32"/>
          <w:shd w:val="clear" w:fill="FFFFFF"/>
          <w:vertAlign w:val="baseline"/>
          <w:lang w:eastAsia="zh-CN"/>
        </w:rPr>
        <w:t>（二）</w:t>
      </w:r>
      <w:r>
        <w:rPr>
          <w:rFonts w:hint="eastAsia" w:ascii="仿宋_GB2312" w:hAnsi="仿宋_GB2312" w:eastAsia="仿宋_GB2312" w:cs="仿宋_GB2312"/>
          <w:b/>
          <w:bCs/>
          <w:i w:val="0"/>
          <w:caps w:val="0"/>
          <w:color w:val="000000"/>
          <w:spacing w:val="0"/>
          <w:sz w:val="32"/>
          <w:szCs w:val="32"/>
          <w:shd w:val="clear" w:fill="FFFFFF"/>
          <w:vertAlign w:val="baseline"/>
        </w:rPr>
        <w:t>实施农产品加工提质增效行动。</w:t>
      </w:r>
      <w:r>
        <w:rPr>
          <w:rFonts w:hint="eastAsia" w:ascii="仿宋_GB2312" w:hAnsi="仿宋_GB2312" w:eastAsia="仿宋_GB2312" w:cs="仿宋_GB2312"/>
          <w:b w:val="0"/>
          <w:i w:val="0"/>
          <w:caps w:val="0"/>
          <w:color w:val="000000"/>
          <w:spacing w:val="0"/>
          <w:sz w:val="32"/>
          <w:szCs w:val="32"/>
          <w:shd w:val="clear" w:fill="FFFFFF"/>
          <w:vertAlign w:val="baseline"/>
        </w:rPr>
        <w:t>大力发展粮食、油料、畜禽精深加工，延长产业链、提升价值链、打造供应链，提高供给质量和效率。持续推进调味品、食用菌、果蔬等特色农产品加工业转型升级，高质量承办好中国农加工投洽会。以中国（驻马店）国际农产品加工产业园为载体，加大全产业链农业产业化龙头企业招引力度。支持重点企业做大做强，提高农产品附加值。实施农业产业强镇培育行动，支持建设一批农业产业优势明显的小城镇。</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bCs/>
          <w:i w:val="0"/>
          <w:caps w:val="0"/>
          <w:color w:val="000000"/>
          <w:spacing w:val="0"/>
          <w:sz w:val="32"/>
          <w:szCs w:val="32"/>
          <w:shd w:val="clear" w:fill="FFFFFF"/>
          <w:vertAlign w:val="baseline"/>
          <w:lang w:eastAsia="zh-CN"/>
        </w:rPr>
        <w:t>（三）</w:t>
      </w:r>
      <w:r>
        <w:rPr>
          <w:rFonts w:hint="eastAsia" w:ascii="仿宋_GB2312" w:hAnsi="仿宋_GB2312" w:eastAsia="仿宋_GB2312" w:cs="仿宋_GB2312"/>
          <w:b/>
          <w:bCs/>
          <w:i w:val="0"/>
          <w:caps w:val="0"/>
          <w:color w:val="000000"/>
          <w:spacing w:val="0"/>
          <w:sz w:val="32"/>
          <w:szCs w:val="32"/>
          <w:shd w:val="clear" w:fill="FFFFFF"/>
          <w:vertAlign w:val="baseline"/>
        </w:rPr>
        <w:t>实施产业园培育行动。</w:t>
      </w:r>
      <w:r>
        <w:rPr>
          <w:rFonts w:hint="eastAsia" w:ascii="仿宋_GB2312" w:hAnsi="仿宋_GB2312" w:eastAsia="仿宋_GB2312" w:cs="仿宋_GB2312"/>
          <w:b w:val="0"/>
          <w:i w:val="0"/>
          <w:caps w:val="0"/>
          <w:color w:val="000000"/>
          <w:spacing w:val="0"/>
          <w:sz w:val="32"/>
          <w:szCs w:val="32"/>
          <w:shd w:val="clear" w:fill="FFFFFF"/>
          <w:vertAlign w:val="baseline"/>
        </w:rPr>
        <w:t>实施现代农业产业园创建行动，加快推进正阳花生、泌阳夏南牛2个国家级和平舆白芝麻、遂平优质小麦、泌阳食用菌、汝南番茄、西平蔬菜等省级现代农业产业园建设，到2025年创建市级以上现代农业产业园20个。推进农业产业化联合体建设，培育一批区域优势特色产业集群。积极开发农业新功能，大力发展“一县一业”“一村一品”，培育发展智慧农业、休闲农业、观光农业、定制农业、体验农业等新业态，推动农村一二三产业融合发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bCs/>
          <w:i w:val="0"/>
          <w:caps w:val="0"/>
          <w:color w:val="000000"/>
          <w:spacing w:val="0"/>
          <w:sz w:val="32"/>
          <w:szCs w:val="32"/>
          <w:shd w:val="clear" w:fill="FFFFFF"/>
          <w:vertAlign w:val="baseline"/>
          <w:lang w:eastAsia="zh-CN"/>
        </w:rPr>
        <w:t>（四）</w:t>
      </w:r>
      <w:r>
        <w:rPr>
          <w:rFonts w:hint="eastAsia" w:ascii="仿宋_GB2312" w:hAnsi="仿宋_GB2312" w:eastAsia="仿宋_GB2312" w:cs="仿宋_GB2312"/>
          <w:b/>
          <w:bCs/>
          <w:i w:val="0"/>
          <w:caps w:val="0"/>
          <w:color w:val="000000"/>
          <w:spacing w:val="0"/>
          <w:sz w:val="32"/>
          <w:szCs w:val="32"/>
          <w:shd w:val="clear" w:fill="FFFFFF"/>
          <w:vertAlign w:val="baseline"/>
        </w:rPr>
        <w:t>实施现代畜牧业提升工程。</w:t>
      </w:r>
      <w:r>
        <w:rPr>
          <w:rFonts w:hint="eastAsia" w:ascii="仿宋_GB2312" w:hAnsi="仿宋_GB2312" w:eastAsia="仿宋_GB2312" w:cs="仿宋_GB2312"/>
          <w:b w:val="0"/>
          <w:i w:val="0"/>
          <w:caps w:val="0"/>
          <w:color w:val="000000"/>
          <w:spacing w:val="0"/>
          <w:sz w:val="32"/>
          <w:szCs w:val="32"/>
          <w:shd w:val="clear" w:fill="FFFFFF"/>
          <w:vertAlign w:val="baseline"/>
        </w:rPr>
        <w:t>坚持“稳猪、提牛、强奶、扩羊、壮禽”的发展思路，重点提高生猪产业生产水平和市场竞争能力，保持生猪生产优势，迈向“生猪强市”。充分发挥夏南牛的品种优势，积极推进肉牛规模化养殖和“托牛所”建设，提高肉牛生产能力，建设“中国牛城”。下大力气发展奶产业，打造“中部奶都”。扩大肉羊生产规模。进一步壮大禽类生产。加快推进养殖规模化、生产标准化、发展产业化、方式绿色化、产品品牌化，着力构建现代畜牧业生产体系、经营体系和产业体系，促进我市畜牧业高质量发展，为建设现代农业强市提供有力支撑。广泛应用现代畜牧业科技装备和先进技术，不断提升规模化、集约化水平，主要畜种规模养殖基本实现全程机械化。普遍提高畜牧业从业者科技文化素质，畜牧业社会化服务组织不断发展壮大，培育高素质从业者1万人以上。驻马店畜牧产品品牌市场占有率和产品认可度明显提高，品牌价值显著提高，畜产品加工业产值与畜牧业产值之比达到3：1，产业结构进一步优化，质量效益和竞争力明显提升，畜牧业产值占农业总产值比重达到45%以上，实现由畜牧业大市向畜牧业强市转变。</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baseline"/>
        <w:rPr>
          <w:rFonts w:hint="eastAsia" w:ascii="仿宋_GB2312" w:hAnsi="仿宋_GB2312" w:eastAsia="仿宋_GB2312" w:cs="仿宋_GB2312"/>
          <w:b w:val="0"/>
          <w:bCs/>
          <w:i w:val="0"/>
          <w:caps w:val="0"/>
          <w:color w:val="000000"/>
          <w:spacing w:val="0"/>
          <w:sz w:val="32"/>
          <w:szCs w:val="32"/>
        </w:rPr>
      </w:pPr>
      <w:r>
        <w:rPr>
          <w:rFonts w:hint="eastAsia" w:ascii="仿宋_GB2312" w:hAnsi="仿宋_GB2312" w:eastAsia="仿宋_GB2312" w:cs="仿宋_GB2312"/>
          <w:b w:val="0"/>
          <w:bCs/>
          <w:i w:val="0"/>
          <w:caps w:val="0"/>
          <w:color w:val="000000"/>
          <w:spacing w:val="0"/>
          <w:sz w:val="32"/>
          <w:szCs w:val="32"/>
          <w:shd w:val="clear" w:fill="FFFFFF"/>
          <w:vertAlign w:val="baseline"/>
        </w:rPr>
        <w:t>第四节加快转变农业发展方式</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shd w:val="clear" w:fill="FFFFFF"/>
          <w:vertAlign w:val="baseline"/>
        </w:rPr>
        <w:t>推动产业融合载体与平台建设，搭建产业融合发展平台，创新载体加速产业融合。实施现代农业产业化集群培育工程，积极引导工商资本投入优势产区，推动产品加工增值链、资源循环利用链、质量全程控制链有机融合。强化科技支撑，推广物联网和电子商务技术的应用，扩大品牌影响，重点围绕优质小麦、花生、蔬菜、白芝麻、生猪、肉牛奶牛、肉羊、食用菌、中药材、调味品10大产业，培育10大优势农产品加工基地和龙头企业，打造一批“全链条、全循环、高质量、高效益”的现代农业产业化集群。加强农产品标准体系和农业标准化示范项目建设，培育一批农产品品牌，积极申请地理标志产品保护，提高农产品的质量安全水平和市场竞争力，促进传统农业向现代农业转变。依托“中国农加工投洽会”，建设“两网一平台”、涉农数据库、农业产品和生产资料监管系统等，打造一体化农产品全程电子商务管理与服务平台，开展农作物精准管理、名优农产品全球交易等应用，构建智慧农业体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baseline"/>
        <w:rPr>
          <w:rFonts w:hint="eastAsia" w:ascii="仿宋_GB2312" w:hAnsi="仿宋_GB2312" w:eastAsia="仿宋_GB2312" w:cs="仿宋_GB2312"/>
          <w:b/>
          <w:bCs/>
          <w:spacing w:val="0"/>
          <w:sz w:val="32"/>
          <w:szCs w:val="32"/>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baseline"/>
        <w:rPr>
          <w:rFonts w:hint="eastAsia" w:ascii="仿宋_GB2312" w:hAnsi="仿宋_GB2312" w:eastAsia="仿宋_GB2312" w:cs="仿宋_GB2312"/>
          <w:b/>
          <w:bCs/>
          <w:spacing w:val="0"/>
          <w:sz w:val="32"/>
          <w:szCs w:val="32"/>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0"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center"/>
              <w:rPr>
                <w:rFonts w:hint="eastAsia" w:ascii="仿宋_GB2312" w:hAnsi="仿宋_GB2312" w:eastAsia="仿宋_GB2312" w:cs="仿宋_GB2312"/>
                <w:spacing w:val="0"/>
                <w:sz w:val="32"/>
                <w:szCs w:val="32"/>
                <w:vertAlign w:val="baseline"/>
              </w:rPr>
            </w:pPr>
            <w:r>
              <w:rPr>
                <w:rFonts w:hint="eastAsia" w:ascii="仿宋_GB2312" w:hAnsi="仿宋_GB2312" w:eastAsia="仿宋_GB2312" w:cs="仿宋_GB2312"/>
                <w:b/>
                <w:spacing w:val="0"/>
                <w:kern w:val="0"/>
                <w:sz w:val="32"/>
                <w:szCs w:val="32"/>
                <w:lang w:val="en-US" w:eastAsia="zh-CN" w:bidi="ar"/>
              </w:rPr>
              <w:t>专栏一、农业综合生产能力提升工程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0" w:type="dxa"/>
            <w:noWrap w:val="0"/>
            <w:vAlign w:val="top"/>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Autospacing="0" w:line="580" w:lineRule="exact"/>
              <w:ind w:left="0" w:firstLine="420"/>
              <w:rPr>
                <w:rFonts w:hint="eastAsia" w:ascii="仿宋_GB2312" w:hAnsi="仿宋_GB2312" w:eastAsia="仿宋_GB2312" w:cs="仿宋_GB2312"/>
                <w:b w:val="0"/>
                <w:bCs/>
                <w:spacing w:val="0"/>
                <w:sz w:val="32"/>
                <w:szCs w:val="32"/>
              </w:rPr>
            </w:pPr>
            <w:r>
              <w:rPr>
                <w:rFonts w:hint="eastAsia" w:ascii="仿宋_GB2312" w:hAnsi="仿宋_GB2312" w:eastAsia="仿宋_GB2312" w:cs="仿宋_GB2312"/>
                <w:b w:val="0"/>
                <w:bCs/>
                <w:spacing w:val="0"/>
                <w:sz w:val="32"/>
                <w:szCs w:val="32"/>
              </w:rPr>
              <w:t>1、实施耕地提质修复改造、农田水利工程、农田防护与生态环境保持等工程，完善水、电、路、林、渠等设施条件。到2025年，全市新建高标准农田200万亩，整治提升200万亩以上，高标准农田保有量达到1000万亩以上。</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Autospacing="0" w:line="580" w:lineRule="exact"/>
              <w:ind w:left="0" w:firstLine="420"/>
              <w:rPr>
                <w:rFonts w:hint="eastAsia" w:ascii="仿宋_GB2312" w:hAnsi="仿宋_GB2312" w:eastAsia="仿宋_GB2312" w:cs="仿宋_GB2312"/>
                <w:b w:val="0"/>
                <w:bCs/>
                <w:spacing w:val="0"/>
                <w:sz w:val="32"/>
                <w:szCs w:val="32"/>
              </w:rPr>
            </w:pPr>
            <w:r>
              <w:rPr>
                <w:rFonts w:hint="eastAsia" w:ascii="仿宋_GB2312" w:hAnsi="仿宋_GB2312" w:eastAsia="仿宋_GB2312" w:cs="仿宋_GB2312"/>
                <w:b w:val="0"/>
                <w:bCs/>
                <w:spacing w:val="0"/>
                <w:sz w:val="32"/>
                <w:szCs w:val="32"/>
              </w:rPr>
              <w:t>2、推进优质小麦、优质专用玉米、优质水稻等基地建设，实施优质粮食工程和“六稳”“六保”等项目，坚持粮食“三链同构”，提高综合生产能力，实现粮食产业高质量发展。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Autospacing="0" w:line="580" w:lineRule="exact"/>
              <w:ind w:left="0" w:firstLine="420"/>
              <w:rPr>
                <w:rFonts w:hint="eastAsia" w:ascii="仿宋_GB2312" w:hAnsi="仿宋_GB2312" w:eastAsia="仿宋_GB2312" w:cs="仿宋_GB2312"/>
                <w:b w:val="0"/>
                <w:bCs/>
                <w:spacing w:val="0"/>
                <w:sz w:val="32"/>
                <w:szCs w:val="32"/>
              </w:rPr>
            </w:pPr>
            <w:r>
              <w:rPr>
                <w:rFonts w:hint="eastAsia" w:ascii="仿宋_GB2312" w:hAnsi="仿宋_GB2312" w:eastAsia="仿宋_GB2312" w:cs="仿宋_GB2312"/>
                <w:b w:val="0"/>
                <w:bCs/>
                <w:spacing w:val="0"/>
                <w:sz w:val="32"/>
                <w:szCs w:val="32"/>
              </w:rPr>
              <w:t>3</w:t>
            </w:r>
            <w:r>
              <w:rPr>
                <w:rFonts w:hint="eastAsia" w:ascii="仿宋_GB2312" w:hAnsi="仿宋_GB2312" w:eastAsia="仿宋_GB2312" w:cs="仿宋_GB2312"/>
                <w:b w:val="0"/>
                <w:bCs/>
                <w:spacing w:val="0"/>
                <w:sz w:val="32"/>
                <w:szCs w:val="32"/>
                <w:lang w:eastAsia="zh-CN"/>
              </w:rPr>
              <w:t>、</w:t>
            </w:r>
            <w:r>
              <w:rPr>
                <w:rFonts w:hint="eastAsia" w:ascii="仿宋_GB2312" w:hAnsi="仿宋_GB2312" w:eastAsia="仿宋_GB2312" w:cs="仿宋_GB2312"/>
                <w:b w:val="0"/>
                <w:bCs/>
                <w:spacing w:val="0"/>
                <w:sz w:val="32"/>
                <w:szCs w:val="32"/>
              </w:rPr>
              <w:t>推进主要农作物生产全程机械化、绿色高端现代农机等行动，构建现代农机装备创新体系，大力发展“互联网+农机作业”，打造现代农机装备产业基地。到2025年，主要农作物耕种收综合机械化率达到91%以上，设施农业、畜牧养殖、水产养殖和农产品初加工机械化率总体达到50%左右。</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Autospacing="0" w:line="580" w:lineRule="exact"/>
              <w:ind w:left="0" w:firstLine="420"/>
              <w:rPr>
                <w:rFonts w:hint="eastAsia" w:ascii="仿宋_GB2312" w:hAnsi="仿宋_GB2312" w:eastAsia="仿宋_GB2312" w:cs="仿宋_GB2312"/>
                <w:spacing w:val="0"/>
                <w:sz w:val="32"/>
                <w:szCs w:val="32"/>
                <w:vertAlign w:val="baseline"/>
              </w:rPr>
            </w:pPr>
            <w:r>
              <w:rPr>
                <w:rFonts w:hint="eastAsia" w:ascii="仿宋_GB2312" w:hAnsi="仿宋_GB2312" w:eastAsia="仿宋_GB2312" w:cs="仿宋_GB2312"/>
                <w:b w:val="0"/>
                <w:bCs/>
                <w:spacing w:val="0"/>
                <w:sz w:val="32"/>
                <w:szCs w:val="32"/>
              </w:rPr>
              <w:t>4、数字农业建设。实施大数据产业园和国家农业农产品加工贸易大数据中心项目，推进现代信息技术与农业各领域各环节深度融合应用。持续开展物联网智慧农业项目、互联网+现代农业等项目，大力发展智慧农业，打造“一村九园”。</w:t>
            </w:r>
          </w:p>
        </w:tc>
      </w:tr>
    </w:tbl>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baseline"/>
        <w:rPr>
          <w:rFonts w:hint="eastAsia" w:ascii="仿宋_GB2312" w:hAnsi="仿宋_GB2312" w:eastAsia="仿宋_GB2312" w:cs="仿宋_GB2312"/>
          <w:b/>
          <w:bCs/>
          <w:spacing w:val="0"/>
          <w:sz w:val="32"/>
          <w:szCs w:val="32"/>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bCs/>
          <w:spacing w:val="0"/>
          <w:sz w:val="32"/>
          <w:szCs w:val="32"/>
        </w:rPr>
        <w:t>第</w:t>
      </w:r>
      <w:r>
        <w:rPr>
          <w:rFonts w:hint="eastAsia" w:ascii="仿宋_GB2312" w:hAnsi="仿宋_GB2312" w:eastAsia="仿宋_GB2312" w:cs="仿宋_GB2312"/>
          <w:b/>
          <w:bCs/>
          <w:spacing w:val="0"/>
          <w:sz w:val="32"/>
          <w:szCs w:val="32"/>
          <w:lang w:eastAsia="zh-CN"/>
        </w:rPr>
        <w:t>五</w:t>
      </w:r>
      <w:r>
        <w:rPr>
          <w:rFonts w:hint="eastAsia" w:ascii="仿宋_GB2312" w:hAnsi="仿宋_GB2312" w:eastAsia="仿宋_GB2312" w:cs="仿宋_GB2312"/>
          <w:b/>
          <w:bCs/>
          <w:spacing w:val="0"/>
          <w:sz w:val="32"/>
          <w:szCs w:val="32"/>
        </w:rPr>
        <w:t>章</w:t>
      </w:r>
      <w:r>
        <w:rPr>
          <w:rFonts w:hint="eastAsia" w:ascii="仿宋_GB2312" w:hAnsi="仿宋_GB2312" w:eastAsia="仿宋_GB2312" w:cs="仿宋_GB2312"/>
          <w:b/>
          <w:bCs/>
          <w:spacing w:val="0"/>
          <w:w w:val="150"/>
          <w:sz w:val="32"/>
          <w:szCs w:val="32"/>
        </w:rPr>
        <w:t xml:space="preserve"> </w:t>
      </w:r>
      <w:r>
        <w:rPr>
          <w:rFonts w:hint="eastAsia" w:ascii="黑体" w:hAnsi="黑体" w:eastAsia="黑体" w:cs="黑体"/>
          <w:b w:val="0"/>
          <w:bCs w:val="0"/>
          <w:i w:val="0"/>
          <w:caps w:val="0"/>
          <w:color w:val="000000"/>
          <w:spacing w:val="11"/>
          <w:w w:val="100"/>
          <w:sz w:val="32"/>
          <w:szCs w:val="32"/>
          <w:shd w:val="clear" w:fill="FFFFFF"/>
          <w:vertAlign w:val="baseline"/>
        </w:rPr>
        <w:t>打造产业强市</w:t>
      </w:r>
      <w:r>
        <w:rPr>
          <w:rFonts w:hint="eastAsia" w:ascii="黑体" w:hAnsi="黑体" w:eastAsia="黑体" w:cs="黑体"/>
          <w:b w:val="0"/>
          <w:bCs w:val="0"/>
          <w:i w:val="0"/>
          <w:caps w:val="0"/>
          <w:color w:val="000000"/>
          <w:spacing w:val="11"/>
          <w:w w:val="100"/>
          <w:sz w:val="32"/>
          <w:szCs w:val="32"/>
          <w:shd w:val="clear" w:fill="FFFFFF"/>
          <w:vertAlign w:val="baseline"/>
          <w:lang w:eastAsia="zh-CN"/>
        </w:rPr>
        <w:t>，</w:t>
      </w:r>
      <w:r>
        <w:rPr>
          <w:rFonts w:hint="eastAsia" w:ascii="黑体" w:hAnsi="黑体" w:eastAsia="黑体" w:cs="黑体"/>
          <w:b w:val="0"/>
          <w:bCs w:val="0"/>
          <w:i w:val="0"/>
          <w:caps w:val="0"/>
          <w:color w:val="000000"/>
          <w:spacing w:val="11"/>
          <w:w w:val="100"/>
          <w:sz w:val="32"/>
          <w:szCs w:val="32"/>
          <w:shd w:val="clear" w:fill="FFFFFF"/>
          <w:vertAlign w:val="baseline"/>
        </w:rPr>
        <w:t>做大做强优势主导产业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shd w:val="clear" w:fill="FFFFFF"/>
          <w:vertAlign w:val="baseline"/>
        </w:rPr>
      </w:pPr>
      <w:r>
        <w:rPr>
          <w:rFonts w:hint="eastAsia" w:ascii="仿宋_GB2312" w:hAnsi="仿宋_GB2312" w:eastAsia="仿宋_GB2312" w:cs="仿宋_GB2312"/>
          <w:b w:val="0"/>
          <w:i w:val="0"/>
          <w:caps w:val="0"/>
          <w:color w:val="000000"/>
          <w:spacing w:val="0"/>
          <w:sz w:val="32"/>
          <w:szCs w:val="32"/>
          <w:shd w:val="clear" w:fill="FFFFFF"/>
          <w:vertAlign w:val="baseline"/>
        </w:rPr>
        <w:t>坚持把制造业高质量发展作为主攻方向，强化科技引领，推动产业升级，狠抓项目建设，持续实施“双百”工程，形成支撑加快工业新旧动能转换的发展体系，促进传统优势主导产业向高端化、智能化、绿色化、集聚化发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baseline"/>
        <w:rPr>
          <w:rFonts w:hint="eastAsia" w:ascii="仿宋_GB2312" w:hAnsi="仿宋_GB2312" w:eastAsia="仿宋_GB2312" w:cs="仿宋_GB2312"/>
          <w:b w:val="0"/>
          <w:bCs/>
          <w:i w:val="0"/>
          <w:caps w:val="0"/>
          <w:color w:val="000000"/>
          <w:spacing w:val="0"/>
          <w:sz w:val="32"/>
          <w:szCs w:val="32"/>
        </w:rPr>
      </w:pPr>
      <w:r>
        <w:rPr>
          <w:rFonts w:hint="eastAsia" w:ascii="仿宋_GB2312" w:hAnsi="仿宋_GB2312" w:eastAsia="仿宋_GB2312" w:cs="仿宋_GB2312"/>
          <w:b w:val="0"/>
          <w:bCs/>
          <w:i w:val="0"/>
          <w:caps w:val="0"/>
          <w:color w:val="000000"/>
          <w:spacing w:val="0"/>
          <w:sz w:val="32"/>
          <w:szCs w:val="32"/>
          <w:shd w:val="clear" w:fill="FFFFFF"/>
          <w:vertAlign w:val="baseline"/>
        </w:rPr>
        <w:t>第一节改造提升传统产业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bCs/>
          <w:i w:val="0"/>
          <w:caps w:val="0"/>
          <w:color w:val="000000"/>
          <w:spacing w:val="0"/>
          <w:sz w:val="32"/>
          <w:szCs w:val="32"/>
          <w:shd w:val="clear" w:fill="FFFFFF"/>
          <w:vertAlign w:val="baseline"/>
          <w:lang w:eastAsia="zh-CN"/>
        </w:rPr>
        <w:t>（一）</w:t>
      </w:r>
      <w:r>
        <w:rPr>
          <w:rFonts w:hint="eastAsia" w:ascii="仿宋_GB2312" w:hAnsi="仿宋_GB2312" w:eastAsia="仿宋_GB2312" w:cs="仿宋_GB2312"/>
          <w:b/>
          <w:bCs/>
          <w:i w:val="0"/>
          <w:caps w:val="0"/>
          <w:color w:val="000000"/>
          <w:spacing w:val="0"/>
          <w:sz w:val="32"/>
          <w:szCs w:val="32"/>
          <w:shd w:val="clear" w:fill="FFFFFF"/>
          <w:vertAlign w:val="baseline"/>
        </w:rPr>
        <w:t>提升农副食品加工业。</w:t>
      </w:r>
      <w:r>
        <w:rPr>
          <w:rFonts w:hint="eastAsia" w:ascii="仿宋_GB2312" w:hAnsi="仿宋_GB2312" w:eastAsia="仿宋_GB2312" w:cs="仿宋_GB2312"/>
          <w:b w:val="0"/>
          <w:i w:val="0"/>
          <w:caps w:val="0"/>
          <w:color w:val="000000"/>
          <w:spacing w:val="0"/>
          <w:sz w:val="32"/>
          <w:szCs w:val="32"/>
          <w:shd w:val="clear" w:fill="FFFFFF"/>
          <w:vertAlign w:val="baseline"/>
        </w:rPr>
        <w:t>立足农副食品加工基础，以中国国际农产品加工产业园为龙头，充分发挥农畜原材料丰富多样的优势，探索“飞地经济”、融资租赁等发展模式，积极发展谷物加工、饲料加工、油料加工、屠宰及肉类加工、水产品加工、蔬菜-菌类-水果-坚果加工、其他农副食品加工业，建设新型市场化运作研发机构和加工、冷链物流、粮油品质研究中心，进一步壮大粮食加工、油料加工及肉制品加工3大优势产业规模，提高优质产品、精深加工产品比重，形成在全国有一定影响力和竞争力的优势食品加工产业。持续开展专题招商，引进一批行业龙头企业落户，构建形成“4+2+2”产业集群，即粮食、油料、肉类、乳业加工“四大优势产业集群”，调味品、食用菌“两大特色产业集群”，饮料、休闲食品制造“两大高成长性产业集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bCs/>
          <w:i w:val="0"/>
          <w:caps w:val="0"/>
          <w:color w:val="000000"/>
          <w:spacing w:val="0"/>
          <w:sz w:val="32"/>
          <w:szCs w:val="32"/>
          <w:shd w:val="clear" w:fill="FFFFFF"/>
          <w:vertAlign w:val="baseline"/>
          <w:lang w:eastAsia="zh-CN"/>
        </w:rPr>
        <w:t>（二）</w:t>
      </w:r>
      <w:r>
        <w:rPr>
          <w:rFonts w:hint="eastAsia" w:ascii="仿宋_GB2312" w:hAnsi="仿宋_GB2312" w:eastAsia="仿宋_GB2312" w:cs="仿宋_GB2312"/>
          <w:b/>
          <w:bCs/>
          <w:i w:val="0"/>
          <w:caps w:val="0"/>
          <w:color w:val="000000"/>
          <w:spacing w:val="0"/>
          <w:sz w:val="32"/>
          <w:szCs w:val="32"/>
          <w:shd w:val="clear" w:fill="FFFFFF"/>
          <w:vertAlign w:val="baseline"/>
        </w:rPr>
        <w:t>壮大传统优势轻纺业。</w:t>
      </w:r>
      <w:r>
        <w:rPr>
          <w:rFonts w:hint="eastAsia" w:ascii="仿宋_GB2312" w:hAnsi="仿宋_GB2312" w:eastAsia="仿宋_GB2312" w:cs="仿宋_GB2312"/>
          <w:b w:val="0"/>
          <w:i w:val="0"/>
          <w:caps w:val="0"/>
          <w:color w:val="000000"/>
          <w:spacing w:val="0"/>
          <w:sz w:val="32"/>
          <w:szCs w:val="32"/>
          <w:shd w:val="clear" w:fill="FFFFFF"/>
          <w:vertAlign w:val="baseline"/>
        </w:rPr>
        <w:t>依托西平县服装加工、上蔡县纺织制鞋、新蔡县纺织服装、平舆县皮革皮具等产业基础，推动纺织服装、皮革皮具、制鞋等产业智能化、定制化发展。重点研究纺织智能制造体系构架、数字工厂（车间）参考模型、通用技术条件、评价验证等智能制造标准。在棉纺、印染、化纤、服装、针织、家纺等行业，开展以自动化和智能化生产、在线工艺和质量监控、自动输送包装、智能仓储、智能管理为主要特征的数字化、智能化工厂（车间）试点示范，提高劳动生产率和产品质量稳定性。开展大规模个性化定制，推动三维人体测量、服装3D可视化及模拟技术的实用化。鼓励建设消费者与生产企业信息交互平台、产业链协同供应平台，在服装、家纺行业，推广个性化定制和批量定制，直接对接消费需求，用工业化手段生产个性化产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bCs/>
          <w:i w:val="0"/>
          <w:caps w:val="0"/>
          <w:color w:val="000000"/>
          <w:spacing w:val="0"/>
          <w:sz w:val="32"/>
          <w:szCs w:val="32"/>
          <w:shd w:val="clear" w:fill="FFFFFF"/>
          <w:vertAlign w:val="baseline"/>
          <w:lang w:eastAsia="zh-CN"/>
        </w:rPr>
        <w:t>（三）</w:t>
      </w:r>
      <w:r>
        <w:rPr>
          <w:rFonts w:hint="eastAsia" w:ascii="仿宋_GB2312" w:hAnsi="仿宋_GB2312" w:eastAsia="仿宋_GB2312" w:cs="仿宋_GB2312"/>
          <w:b/>
          <w:bCs/>
          <w:i w:val="0"/>
          <w:caps w:val="0"/>
          <w:color w:val="000000"/>
          <w:spacing w:val="0"/>
          <w:sz w:val="32"/>
          <w:szCs w:val="32"/>
          <w:shd w:val="clear" w:fill="FFFFFF"/>
          <w:vertAlign w:val="baseline"/>
        </w:rPr>
        <w:t>稳妥发展现代能源化工产业。</w:t>
      </w:r>
      <w:r>
        <w:rPr>
          <w:rFonts w:hint="eastAsia" w:ascii="仿宋_GB2312" w:hAnsi="仿宋_GB2312" w:eastAsia="仿宋_GB2312" w:cs="仿宋_GB2312"/>
          <w:b w:val="0"/>
          <w:i w:val="0"/>
          <w:caps w:val="0"/>
          <w:color w:val="000000"/>
          <w:spacing w:val="0"/>
          <w:sz w:val="32"/>
          <w:szCs w:val="32"/>
          <w:shd w:val="clear" w:fill="FFFFFF"/>
          <w:vertAlign w:val="baseline"/>
        </w:rPr>
        <w:t>立足化工产业优势，以多品种、高附加值为方向，统筹推进现代能源化工等产业发展。积极发展新型生物有机肥料等深加工产品，拉长化工产业链，以小品种、高附加值为方向，延伸发展精细化工和化工新材料，提高中高端产品比重，建设以新型能源化工和精细化工为主的现代能源化工基地。</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bCs/>
          <w:i w:val="0"/>
          <w:caps w:val="0"/>
          <w:color w:val="000000"/>
          <w:spacing w:val="0"/>
          <w:sz w:val="32"/>
          <w:szCs w:val="32"/>
          <w:shd w:val="clear" w:fill="FFFFFF"/>
          <w:vertAlign w:val="baseline"/>
          <w:lang w:eastAsia="zh-CN"/>
        </w:rPr>
        <w:t>（四）</w:t>
      </w:r>
      <w:r>
        <w:rPr>
          <w:rFonts w:hint="eastAsia" w:ascii="仿宋_GB2312" w:hAnsi="仿宋_GB2312" w:eastAsia="仿宋_GB2312" w:cs="仿宋_GB2312"/>
          <w:b/>
          <w:bCs/>
          <w:i w:val="0"/>
          <w:caps w:val="0"/>
          <w:color w:val="000000"/>
          <w:spacing w:val="0"/>
          <w:sz w:val="32"/>
          <w:szCs w:val="32"/>
          <w:shd w:val="clear" w:fill="FFFFFF"/>
          <w:vertAlign w:val="baseline"/>
        </w:rPr>
        <w:t>加快发展新型建材产业</w:t>
      </w:r>
      <w:r>
        <w:rPr>
          <w:rFonts w:hint="eastAsia" w:ascii="仿宋_GB2312" w:hAnsi="仿宋_GB2312" w:eastAsia="仿宋_GB2312" w:cs="仿宋_GB2312"/>
          <w:b w:val="0"/>
          <w:i w:val="0"/>
          <w:caps w:val="0"/>
          <w:color w:val="000000"/>
          <w:spacing w:val="0"/>
          <w:sz w:val="32"/>
          <w:szCs w:val="32"/>
          <w:shd w:val="clear" w:fill="FFFFFF"/>
          <w:vertAlign w:val="baseline"/>
        </w:rPr>
        <w:t>。依托驿城区绿色建筑装备产业园、确山县建筑产业现代化示范园、泌阳县绿色石材加工产业园，重点发展新型墙体材料、装配式混凝土建筑体系、新型防水卷材、特种水泥、超薄石材、节能门窗、绝热隔音材料、环保涂层材料、轻型钢结构ASA板镶嵌式集成节能建筑体系等新型建材，推动产业规模化、项目集群化、企业链条化、生产环保化、发展融合化、增长多元化，促进建材产业由分散向集约、由单一向复合、由粗放向精细、由低端向高端转变，为打造全国新型建筑材料基地提供支撑。</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bCs/>
          <w:i w:val="0"/>
          <w:caps w:val="0"/>
          <w:color w:val="000000"/>
          <w:spacing w:val="0"/>
          <w:sz w:val="32"/>
          <w:szCs w:val="32"/>
          <w:shd w:val="clear" w:fill="FFFFFF"/>
          <w:vertAlign w:val="baseline"/>
          <w:lang w:eastAsia="zh-CN"/>
        </w:rPr>
        <w:t>（五）巩固</w:t>
      </w:r>
      <w:r>
        <w:rPr>
          <w:rFonts w:hint="eastAsia" w:ascii="仿宋_GB2312" w:hAnsi="仿宋_GB2312" w:eastAsia="仿宋_GB2312" w:cs="仿宋_GB2312"/>
          <w:b/>
          <w:bCs/>
          <w:i w:val="0"/>
          <w:caps w:val="0"/>
          <w:color w:val="000000"/>
          <w:spacing w:val="0"/>
          <w:sz w:val="32"/>
          <w:szCs w:val="32"/>
          <w:shd w:val="clear" w:fill="FFFFFF"/>
          <w:vertAlign w:val="baseline"/>
        </w:rPr>
        <w:t>发展建筑防水产业。</w:t>
      </w:r>
      <w:r>
        <w:rPr>
          <w:rFonts w:hint="eastAsia" w:ascii="仿宋_GB2312" w:hAnsi="仿宋_GB2312" w:eastAsia="仿宋_GB2312" w:cs="仿宋_GB2312"/>
          <w:b w:val="0"/>
          <w:i w:val="0"/>
          <w:caps w:val="0"/>
          <w:color w:val="000000"/>
          <w:spacing w:val="0"/>
          <w:sz w:val="32"/>
          <w:szCs w:val="32"/>
          <w:shd w:val="clear" w:fill="FFFFFF"/>
          <w:vertAlign w:val="baseline"/>
        </w:rPr>
        <w:t>立足平舆县“中国建设工程防水之乡”优势，打造科技创新、材料生产、施工总部、技能培训“四大基地”，发挥河南蓝翎环科院士工作站、中山大学河南研究院作用，加快建设国际防水实验室，加大先进人才、技术、设备引进力度，进一步增强平舆县防水企业核心竞争力，打造国内具有影响力的建筑防水产业园区，叫响“驻马店建筑防水”品牌。培育壮大“互联网+防水”等新兴业态，引导鼓励建筑防水企业和电子商务运营平台深度合作，进一步提升平舆建筑防水品牌线上线下的影响力和竞争力。</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bCs/>
          <w:i w:val="0"/>
          <w:caps w:val="0"/>
          <w:color w:val="000000"/>
          <w:spacing w:val="0"/>
          <w:sz w:val="32"/>
          <w:szCs w:val="32"/>
          <w:shd w:val="clear" w:fill="FFFFFF"/>
          <w:vertAlign w:val="baseline"/>
          <w:lang w:eastAsia="zh-CN"/>
        </w:rPr>
        <w:t>（六）打造</w:t>
      </w:r>
      <w:r>
        <w:rPr>
          <w:rFonts w:hint="eastAsia" w:ascii="仿宋_GB2312" w:hAnsi="仿宋_GB2312" w:eastAsia="仿宋_GB2312" w:cs="仿宋_GB2312"/>
          <w:b/>
          <w:bCs/>
          <w:i w:val="0"/>
          <w:caps w:val="0"/>
          <w:color w:val="000000"/>
          <w:spacing w:val="0"/>
          <w:sz w:val="32"/>
          <w:szCs w:val="32"/>
          <w:shd w:val="clear" w:fill="FFFFFF"/>
          <w:vertAlign w:val="baseline"/>
        </w:rPr>
        <w:t>户外休闲用品产业。</w:t>
      </w:r>
      <w:r>
        <w:rPr>
          <w:rFonts w:hint="eastAsia" w:ascii="仿宋_GB2312" w:hAnsi="仿宋_GB2312" w:eastAsia="仿宋_GB2312" w:cs="仿宋_GB2312"/>
          <w:b w:val="0"/>
          <w:i w:val="0"/>
          <w:caps w:val="0"/>
          <w:color w:val="000000"/>
          <w:spacing w:val="0"/>
          <w:sz w:val="32"/>
          <w:szCs w:val="32"/>
          <w:shd w:val="clear" w:fill="FFFFFF"/>
          <w:vertAlign w:val="baseline"/>
        </w:rPr>
        <w:t>建成平舆县户外休闲用品产业园，重点围绕户外加工和藤条、塑粉、枪钉、制管、纸箱、海绵、模具等全产业链聚合吸引上下游配套企业入驻，进一步完善配套，壮大产业规模，推动产业集群化发展。着力打造户外用品跨境电商平台，加强与电商平台的合作，拓展线上线下销售渠道。积极开拓“一带一路”沿线国家和南美、大洋洲等潜在市场，在欧美等主要市场国家设立“海外仓”、户外家居展示中心、仓储中心，大力构建海外营销网络。建设国家级户外休闲产品检测中心，引导企业加强产品研发、专利申请、产品认证，积极参与行业标准制定，提高竞争力，扩大品牌影响力和市场占有率。</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baseline"/>
        <w:rPr>
          <w:rFonts w:hint="eastAsia" w:ascii="仿宋_GB2312" w:hAnsi="仿宋_GB2312" w:eastAsia="仿宋_GB2312" w:cs="仿宋_GB2312"/>
          <w:b w:val="0"/>
          <w:bCs/>
          <w:i w:val="0"/>
          <w:caps w:val="0"/>
          <w:color w:val="000000"/>
          <w:spacing w:val="0"/>
          <w:sz w:val="32"/>
          <w:szCs w:val="32"/>
        </w:rPr>
      </w:pPr>
      <w:r>
        <w:rPr>
          <w:rFonts w:hint="eastAsia" w:ascii="仿宋_GB2312" w:hAnsi="仿宋_GB2312" w:eastAsia="仿宋_GB2312" w:cs="仿宋_GB2312"/>
          <w:b w:val="0"/>
          <w:bCs/>
          <w:i w:val="0"/>
          <w:caps w:val="0"/>
          <w:color w:val="000000"/>
          <w:spacing w:val="0"/>
          <w:sz w:val="32"/>
          <w:szCs w:val="32"/>
          <w:shd w:val="clear" w:fill="FFFFFF"/>
          <w:vertAlign w:val="baseline"/>
        </w:rPr>
        <w:t>第二节实施产业基础再造工程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shd w:val="clear" w:fill="FFFFFF"/>
          <w:vertAlign w:val="baseline"/>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shd w:val="clear" w:fill="FFFFFF"/>
          <w:vertAlign w:val="baseline"/>
        </w:rPr>
        <w:t>积极对接国家重大专项和产业链布局，聚焦我市优势领域和薄弱环节，制定实施关键核心技术攻关清单，融合部门、企业、科研院所、行业协会等各方力量，采用“揭榜挂帅”等组织方式，加快突破一批基础零部件、基础材料、基础工艺、产业技术基础等短板。实施“专精特新”企业培育提升行动，新增一批50亿、百亿级企业。加大自主创新产品推广力度，开展装备首台套、新材料首批次示范应用基地和产业联盟建设，促进产业基础攻关产品规模应用和迭代升级。</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shd w:val="clear" w:fill="FFFFFF"/>
          <w:vertAlign w:val="baseline"/>
        </w:rPr>
        <w:t>把制造业高质量发展作为主攻方向，统筹存量转型、增量崛起和未来布局，打好产业基础高级化和产业链现代化攻坚战，促进实体经济、科技创新、现代金融、人力资源协同发展，着力培育具有竞争力的千亿级产业和优势产业集群，加快建设先进制造业强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baseline"/>
        <w:rPr>
          <w:rFonts w:hint="eastAsia" w:ascii="仿宋_GB2312" w:hAnsi="仿宋_GB2312" w:eastAsia="仿宋_GB2312" w:cs="仿宋_GB2312"/>
          <w:b w:val="0"/>
          <w:bCs/>
          <w:i w:val="0"/>
          <w:caps w:val="0"/>
          <w:color w:val="000000"/>
          <w:spacing w:val="0"/>
          <w:sz w:val="32"/>
          <w:szCs w:val="32"/>
        </w:rPr>
      </w:pPr>
      <w:r>
        <w:rPr>
          <w:rFonts w:hint="eastAsia" w:ascii="仿宋_GB2312" w:hAnsi="仿宋_GB2312" w:eastAsia="仿宋_GB2312" w:cs="仿宋_GB2312"/>
          <w:b w:val="0"/>
          <w:bCs/>
          <w:i w:val="0"/>
          <w:caps w:val="0"/>
          <w:color w:val="000000"/>
          <w:spacing w:val="0"/>
          <w:sz w:val="32"/>
          <w:szCs w:val="32"/>
          <w:shd w:val="clear" w:fill="FFFFFF"/>
          <w:vertAlign w:val="baseline"/>
        </w:rPr>
        <w:t>第三节打造智能制造业集群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shd w:val="clear" w:fill="FFFFFF"/>
          <w:vertAlign w:val="baseline"/>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shd w:val="clear" w:fill="FFFFFF"/>
          <w:vertAlign w:val="baseline"/>
        </w:rPr>
      </w:pPr>
      <w:r>
        <w:rPr>
          <w:rFonts w:hint="eastAsia" w:ascii="仿宋_GB2312" w:hAnsi="仿宋_GB2312" w:eastAsia="仿宋_GB2312" w:cs="仿宋_GB2312"/>
          <w:b w:val="0"/>
          <w:i w:val="0"/>
          <w:caps w:val="0"/>
          <w:color w:val="000000"/>
          <w:spacing w:val="0"/>
          <w:sz w:val="32"/>
          <w:szCs w:val="32"/>
          <w:shd w:val="clear" w:fill="FFFFFF"/>
          <w:vertAlign w:val="baseline"/>
        </w:rPr>
        <w:t>加强区域产业分工协作，培育组建新型集群发展促进机构，完善公共服务平台体系，</w:t>
      </w:r>
      <w:r>
        <w:rPr>
          <w:rFonts w:hint="eastAsia" w:ascii="仿宋_GB2312" w:hAnsi="仿宋_GB2312" w:eastAsia="仿宋_GB2312" w:cs="仿宋_GB2312"/>
          <w:b w:val="0"/>
          <w:i w:val="0"/>
          <w:caps w:val="0"/>
          <w:color w:val="000000"/>
          <w:spacing w:val="0"/>
          <w:sz w:val="32"/>
          <w:szCs w:val="32"/>
          <w:shd w:val="clear" w:fill="FFFFFF"/>
          <w:vertAlign w:val="baseline"/>
          <w:lang w:eastAsia="zh-CN"/>
        </w:rPr>
        <w:t>推动“九大产业集群”发展，</w:t>
      </w:r>
      <w:r>
        <w:rPr>
          <w:rFonts w:hint="eastAsia" w:ascii="仿宋_GB2312" w:hAnsi="仿宋_GB2312" w:eastAsia="仿宋_GB2312" w:cs="仿宋_GB2312"/>
          <w:b w:val="0"/>
          <w:i w:val="0"/>
          <w:caps w:val="0"/>
          <w:color w:val="000000"/>
          <w:spacing w:val="0"/>
          <w:sz w:val="32"/>
          <w:szCs w:val="32"/>
          <w:shd w:val="clear" w:fill="FFFFFF"/>
          <w:vertAlign w:val="baseline"/>
        </w:rPr>
        <w:t>重点构建食品制造、装备制造、轻纺3个具有更强创新力、更高附加值的全产业链的千亿级先进制造业集群。聚焦发展10个以上百亿级特色产业，发展智能制造、高端制造，开展制造业数字化转型行动，推进企业“上云用数赋智”全覆盖，支持企业加快产品迭代升级和品质提升，培育形成一批产业生态主导型企业，培育国家级智能工厂15家以上。深入推进绿色制造，加快传统产业绿色化改造，开展绿色产业和高端再制造，培育国家、省级绿色工厂10家以上。开展先进制造业与现代服务业融合发展试点，推广服务型制造新模式，加快补齐工业设计、研发外包、检验检测等生产性服务业短板。建设黄淮学院“服装智能制造学院”，推进产教融合发展平台，形成多方“共建、共享、共赢”的良性互动态势。</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both"/>
        <w:textAlignment w:val="baseline"/>
        <w:rPr>
          <w:rFonts w:hint="eastAsia" w:ascii="仿宋_GB2312" w:hAnsi="仿宋_GB2312" w:eastAsia="仿宋_GB2312" w:cs="仿宋_GB2312"/>
          <w:b w:val="0"/>
          <w:i w:val="0"/>
          <w:caps w:val="0"/>
          <w:color w:val="000000"/>
          <w:spacing w:val="0"/>
          <w:sz w:val="32"/>
          <w:szCs w:val="32"/>
          <w:shd w:val="clear" w:fill="FFFFFF"/>
          <w:vertAlign w:val="baseline"/>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520" w:type="dxa"/>
            <w:noWrap w:val="0"/>
            <w:vAlign w:val="top"/>
          </w:tcPr>
          <w:p>
            <w:pPr>
              <w:keepNext w:val="0"/>
              <w:keepLines w:val="0"/>
              <w:pageBreakBefore w:val="0"/>
              <w:kinsoku/>
              <w:wordWrap/>
              <w:overflowPunct/>
              <w:topLinePunct w:val="0"/>
              <w:autoSpaceDE/>
              <w:autoSpaceDN/>
              <w:bidi w:val="0"/>
              <w:adjustRightInd/>
              <w:snapToGrid/>
              <w:spacing w:afterAutospacing="0" w:line="580" w:lineRule="exact"/>
              <w:jc w:val="center"/>
              <w:rPr>
                <w:rFonts w:hint="eastAsia" w:ascii="仿宋_GB2312" w:hAnsi="仿宋_GB2312" w:eastAsia="仿宋_GB2312" w:cs="仿宋_GB2312"/>
                <w:spacing w:val="0"/>
                <w:sz w:val="32"/>
                <w:szCs w:val="32"/>
                <w:vertAlign w:val="baseline"/>
                <w:lang w:eastAsia="zh-CN"/>
              </w:rPr>
            </w:pPr>
            <w:r>
              <w:rPr>
                <w:rFonts w:hint="eastAsia" w:ascii="仿宋_GB2312" w:hAnsi="仿宋_GB2312" w:eastAsia="仿宋_GB2312" w:cs="仿宋_GB2312"/>
                <w:b/>
                <w:bCs/>
                <w:spacing w:val="0"/>
                <w:sz w:val="32"/>
                <w:szCs w:val="32"/>
                <w:vertAlign w:val="baseline"/>
                <w:lang w:eastAsia="zh-CN"/>
              </w:rPr>
              <w:t>专栏二、主导优势产业重大工程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0" w:type="dxa"/>
            <w:noWrap w:val="0"/>
            <w:vAlign w:val="top"/>
          </w:tcPr>
          <w:p>
            <w:pPr>
              <w:keepNext w:val="0"/>
              <w:keepLines w:val="0"/>
              <w:pageBreakBefore w:val="0"/>
              <w:widowControl/>
              <w:numPr>
                <w:ilvl w:val="0"/>
                <w:numId w:val="3"/>
              </w:numPr>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b w:val="0"/>
                <w:bCs w:val="0"/>
                <w:i w:val="0"/>
                <w:caps w:val="0"/>
                <w:color w:val="000000"/>
                <w:spacing w:val="0"/>
                <w:kern w:val="0"/>
                <w:sz w:val="32"/>
                <w:szCs w:val="32"/>
                <w:shd w:val="clear" w:fill="FFFFFF"/>
                <w:lang w:val="en-US" w:eastAsia="zh-CN" w:bidi="ar"/>
              </w:rPr>
            </w:pPr>
            <w:r>
              <w:rPr>
                <w:rFonts w:hint="eastAsia" w:ascii="仿宋_GB2312" w:hAnsi="仿宋_GB2312" w:eastAsia="仿宋_GB2312" w:cs="仿宋_GB2312"/>
                <w:b w:val="0"/>
                <w:bCs w:val="0"/>
                <w:i w:val="0"/>
                <w:caps w:val="0"/>
                <w:color w:val="000000"/>
                <w:spacing w:val="0"/>
                <w:kern w:val="0"/>
                <w:sz w:val="32"/>
                <w:szCs w:val="32"/>
                <w:shd w:val="clear" w:fill="FFFFFF"/>
                <w:lang w:val="en-US" w:eastAsia="zh-CN" w:bidi="ar"/>
              </w:rPr>
              <w:t>巩固提升肉制品、面制品、调味品等行业优势，提高酒业品牌影响力，重点发展冷链食品和休闲食品，推动食品加工由“原字号”向“国人厨房”跨越，建成全省重要的现代食品加工基地，到2025年，建成1000亿级食品加工产业集群。</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b w:val="0"/>
                <w:bCs w:val="0"/>
                <w:spacing w:val="0"/>
                <w:sz w:val="32"/>
                <w:szCs w:val="32"/>
              </w:rPr>
            </w:pPr>
            <w:r>
              <w:rPr>
                <w:rFonts w:hint="eastAsia" w:ascii="仿宋_GB2312" w:hAnsi="仿宋_GB2312" w:eastAsia="仿宋_GB2312" w:cs="仿宋_GB2312"/>
                <w:b w:val="0"/>
                <w:bCs w:val="0"/>
                <w:spacing w:val="0"/>
                <w:sz w:val="32"/>
                <w:szCs w:val="32"/>
                <w:lang w:val="en-US" w:eastAsia="zh-CN"/>
              </w:rPr>
              <w:t>2、</w:t>
            </w:r>
            <w:r>
              <w:rPr>
                <w:rFonts w:hint="eastAsia" w:ascii="仿宋_GB2312" w:hAnsi="仿宋_GB2312" w:eastAsia="仿宋_GB2312" w:cs="仿宋_GB2312"/>
                <w:b w:val="0"/>
                <w:bCs w:val="0"/>
                <w:i w:val="0"/>
                <w:caps w:val="0"/>
                <w:color w:val="000000"/>
                <w:spacing w:val="0"/>
                <w:kern w:val="0"/>
                <w:sz w:val="32"/>
                <w:szCs w:val="32"/>
                <w:shd w:val="clear" w:fill="FFFFFF"/>
                <w:lang w:val="en-US" w:eastAsia="zh-CN" w:bidi="ar"/>
              </w:rPr>
              <w:t>重点发展现代纺织服装、制鞋产业，到2025年，建成300亿级纺织服装及制鞋产业集群。</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b w:val="0"/>
                <w:bCs w:val="0"/>
                <w:spacing w:val="0"/>
                <w:sz w:val="32"/>
                <w:szCs w:val="32"/>
              </w:rPr>
            </w:pPr>
            <w:r>
              <w:rPr>
                <w:rFonts w:hint="eastAsia" w:ascii="仿宋_GB2312" w:hAnsi="仿宋_GB2312" w:eastAsia="仿宋_GB2312" w:cs="仿宋_GB2312"/>
                <w:b w:val="0"/>
                <w:bCs w:val="0"/>
                <w:spacing w:val="0"/>
                <w:sz w:val="32"/>
                <w:szCs w:val="32"/>
                <w:lang w:val="en-US" w:eastAsia="zh-CN"/>
              </w:rPr>
              <w:t>3、</w:t>
            </w:r>
            <w:r>
              <w:rPr>
                <w:rFonts w:hint="eastAsia" w:ascii="仿宋_GB2312" w:hAnsi="仿宋_GB2312" w:eastAsia="仿宋_GB2312" w:cs="仿宋_GB2312"/>
                <w:b w:val="0"/>
                <w:bCs w:val="0"/>
                <w:i w:val="0"/>
                <w:caps w:val="0"/>
                <w:color w:val="000000"/>
                <w:spacing w:val="0"/>
                <w:kern w:val="0"/>
                <w:sz w:val="32"/>
                <w:szCs w:val="32"/>
                <w:shd w:val="clear" w:fill="FFFFFF"/>
                <w:lang w:val="en-US" w:eastAsia="zh-CN" w:bidi="ar"/>
              </w:rPr>
              <w:t>改造提升水泥、防水等产业，发展新型建材和装配式建筑，开展绿色建材应用示范工程，着力建成一批绿色建材基地。到2025年，建成全省重要的300亿级绿色建材产业集群。</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b w:val="0"/>
                <w:bCs w:val="0"/>
                <w:i w:val="0"/>
                <w:caps w:val="0"/>
                <w:color w:val="000000"/>
                <w:spacing w:val="0"/>
                <w:sz w:val="32"/>
                <w:szCs w:val="32"/>
                <w:shd w:val="clear" w:fill="FFFFFF"/>
                <w:vertAlign w:val="baseline"/>
              </w:rPr>
            </w:pPr>
            <w:r>
              <w:rPr>
                <w:rFonts w:hint="eastAsia" w:ascii="仿宋_GB2312" w:hAnsi="仿宋_GB2312" w:eastAsia="仿宋_GB2312" w:cs="仿宋_GB2312"/>
                <w:b w:val="0"/>
                <w:bCs w:val="0"/>
                <w:spacing w:val="0"/>
                <w:sz w:val="32"/>
                <w:szCs w:val="32"/>
                <w:lang w:val="en-US" w:eastAsia="zh-CN"/>
              </w:rPr>
              <w:t>4、</w:t>
            </w:r>
            <w:r>
              <w:rPr>
                <w:rFonts w:hint="eastAsia" w:ascii="仿宋_GB2312" w:hAnsi="仿宋_GB2312" w:eastAsia="仿宋_GB2312" w:cs="仿宋_GB2312"/>
                <w:b w:val="0"/>
                <w:bCs w:val="0"/>
                <w:i w:val="0"/>
                <w:caps w:val="0"/>
                <w:color w:val="000000"/>
                <w:spacing w:val="0"/>
                <w:kern w:val="0"/>
                <w:sz w:val="32"/>
                <w:szCs w:val="32"/>
                <w:shd w:val="clear" w:fill="FFFFFF"/>
                <w:lang w:val="en-US" w:eastAsia="zh-CN" w:bidi="ar"/>
              </w:rPr>
              <w:t>充分利用户外休闲用品产业集群优势，加强与国内知名户外企业、科研院校合作，</w:t>
            </w:r>
            <w:r>
              <w:rPr>
                <w:rFonts w:hint="eastAsia" w:ascii="仿宋_GB2312" w:hAnsi="仿宋_GB2312" w:eastAsia="仿宋_GB2312" w:cs="仿宋_GB2312"/>
                <w:b w:val="0"/>
                <w:bCs w:val="0"/>
                <w:i w:val="0"/>
                <w:caps w:val="0"/>
                <w:color w:val="000000"/>
                <w:spacing w:val="0"/>
                <w:sz w:val="32"/>
                <w:szCs w:val="32"/>
                <w:shd w:val="clear" w:fill="FFFFFF"/>
                <w:vertAlign w:val="baseline"/>
              </w:rPr>
              <w:t>到2025年，建成200亿级户外休闲用品产业集群。</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b w:val="0"/>
                <w:bCs w:val="0"/>
                <w:spacing w:val="0"/>
                <w:sz w:val="32"/>
                <w:szCs w:val="32"/>
              </w:rPr>
            </w:pPr>
            <w:r>
              <w:rPr>
                <w:rFonts w:hint="eastAsia" w:ascii="仿宋_GB2312" w:hAnsi="仿宋_GB2312" w:eastAsia="仿宋_GB2312" w:cs="仿宋_GB2312"/>
                <w:b w:val="0"/>
                <w:bCs w:val="0"/>
                <w:i w:val="0"/>
                <w:caps w:val="0"/>
                <w:color w:val="000000"/>
                <w:spacing w:val="0"/>
                <w:sz w:val="32"/>
                <w:szCs w:val="32"/>
                <w:shd w:val="clear" w:fill="FFFFFF"/>
                <w:vertAlign w:val="baseline"/>
                <w:lang w:val="en-US" w:eastAsia="zh-CN"/>
              </w:rPr>
              <w:t>5、</w:t>
            </w:r>
            <w:r>
              <w:rPr>
                <w:rFonts w:hint="eastAsia" w:ascii="仿宋_GB2312" w:hAnsi="仿宋_GB2312" w:eastAsia="仿宋_GB2312" w:cs="仿宋_GB2312"/>
                <w:b w:val="0"/>
                <w:bCs w:val="0"/>
                <w:i w:val="0"/>
                <w:caps w:val="0"/>
                <w:color w:val="000000"/>
                <w:spacing w:val="0"/>
                <w:kern w:val="0"/>
                <w:sz w:val="32"/>
                <w:szCs w:val="32"/>
                <w:shd w:val="clear" w:fill="FFFFFF"/>
                <w:lang w:val="en-US" w:eastAsia="zh-CN" w:bidi="ar"/>
              </w:rPr>
              <w:t>强化重点产业集群和产业链的强链、延链、补链、畅链项目，建立项目追踪机制，注重项目绩效和管理，推动新一轮技术改造。到2025年，完成1000项重大技术改造项目。</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2"/>
                <w:szCs w:val="32"/>
                <w:vertAlign w:val="baseline"/>
                <w:lang w:val="en-US" w:eastAsia="zh-CN"/>
              </w:rPr>
            </w:pPr>
            <w:r>
              <w:rPr>
                <w:rFonts w:hint="eastAsia" w:ascii="仿宋_GB2312" w:hAnsi="仿宋_GB2312" w:eastAsia="仿宋_GB2312" w:cs="仿宋_GB2312"/>
                <w:b w:val="0"/>
                <w:bCs w:val="0"/>
                <w:i w:val="0"/>
                <w:caps w:val="0"/>
                <w:color w:val="000000"/>
                <w:spacing w:val="0"/>
                <w:sz w:val="32"/>
                <w:szCs w:val="32"/>
                <w:shd w:val="clear" w:fill="FFFFFF"/>
                <w:vertAlign w:val="baseline"/>
                <w:lang w:val="en-US" w:eastAsia="zh-CN"/>
              </w:rPr>
              <w:t>6、</w:t>
            </w:r>
            <w:r>
              <w:rPr>
                <w:rFonts w:hint="eastAsia" w:ascii="仿宋_GB2312" w:hAnsi="仿宋_GB2312" w:eastAsia="仿宋_GB2312" w:cs="仿宋_GB2312"/>
                <w:b w:val="0"/>
                <w:bCs w:val="0"/>
                <w:i w:val="0"/>
                <w:caps w:val="0"/>
                <w:color w:val="000000"/>
                <w:spacing w:val="0"/>
                <w:kern w:val="0"/>
                <w:sz w:val="32"/>
                <w:szCs w:val="32"/>
                <w:vertAlign w:val="baseline"/>
                <w:lang w:val="en-US" w:eastAsia="zh-CN" w:bidi="ar"/>
              </w:rPr>
              <w:t>打造“头雁”企业方阵，</w:t>
            </w:r>
            <w:r>
              <w:rPr>
                <w:rFonts w:hint="eastAsia" w:ascii="仿宋_GB2312" w:hAnsi="仿宋_GB2312" w:eastAsia="仿宋_GB2312" w:cs="仿宋_GB2312"/>
                <w:b w:val="0"/>
                <w:bCs w:val="0"/>
                <w:i w:val="0"/>
                <w:caps w:val="0"/>
                <w:color w:val="000000"/>
                <w:spacing w:val="0"/>
                <w:kern w:val="0"/>
                <w:sz w:val="32"/>
                <w:szCs w:val="32"/>
                <w:shd w:val="clear" w:fill="FFFFFF"/>
                <w:lang w:val="en-US" w:eastAsia="zh-CN" w:bidi="ar"/>
              </w:rPr>
              <w:t>到2025年，力争新增百亿级企业1-2家、培育优势产业和传统产业10亿级企业30家、30亿级10家、50亿级5家；新兴产业企业5亿级10家以上，带动260家以上“专精特新”中小企业融通发展，形成一批千亿级产业集群、现代化产业链，群链主导力显著提升。</w:t>
            </w:r>
          </w:p>
        </w:tc>
      </w:tr>
    </w:tbl>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baseline"/>
        <w:rPr>
          <w:rFonts w:hint="eastAsia" w:ascii="仿宋_GB2312" w:hAnsi="仿宋_GB2312" w:eastAsia="仿宋_GB2312" w:cs="仿宋_GB2312"/>
          <w:b/>
          <w:i w:val="0"/>
          <w:caps w:val="0"/>
          <w:color w:val="000000"/>
          <w:spacing w:val="0"/>
          <w:sz w:val="32"/>
          <w:szCs w:val="32"/>
          <w:shd w:val="clear" w:fill="FFFFFF"/>
          <w:vertAlign w:val="baseline"/>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i w:val="0"/>
          <w:caps w:val="0"/>
          <w:color w:val="000000"/>
          <w:spacing w:val="0"/>
          <w:sz w:val="32"/>
          <w:szCs w:val="32"/>
          <w:shd w:val="clear" w:fill="FFFFFF"/>
          <w:vertAlign w:val="baseline"/>
        </w:rPr>
        <w:t>第</w:t>
      </w:r>
      <w:r>
        <w:rPr>
          <w:rFonts w:hint="eastAsia" w:ascii="仿宋_GB2312" w:hAnsi="仿宋_GB2312" w:eastAsia="仿宋_GB2312" w:cs="仿宋_GB2312"/>
          <w:b/>
          <w:i w:val="0"/>
          <w:caps w:val="0"/>
          <w:color w:val="000000"/>
          <w:spacing w:val="0"/>
          <w:sz w:val="32"/>
          <w:szCs w:val="32"/>
          <w:shd w:val="clear" w:fill="FFFFFF"/>
          <w:vertAlign w:val="baseline"/>
          <w:lang w:eastAsia="zh-CN"/>
        </w:rPr>
        <w:t>六</w:t>
      </w:r>
      <w:r>
        <w:rPr>
          <w:rFonts w:hint="eastAsia" w:ascii="仿宋_GB2312" w:hAnsi="仿宋_GB2312" w:eastAsia="仿宋_GB2312" w:cs="仿宋_GB2312"/>
          <w:b/>
          <w:i w:val="0"/>
          <w:caps w:val="0"/>
          <w:color w:val="000000"/>
          <w:spacing w:val="0"/>
          <w:sz w:val="32"/>
          <w:szCs w:val="32"/>
          <w:shd w:val="clear" w:fill="FFFFFF"/>
          <w:vertAlign w:val="baseline"/>
        </w:rPr>
        <w:t>章</w:t>
      </w:r>
      <w:r>
        <w:rPr>
          <w:rFonts w:hint="eastAsia" w:ascii="仿宋_GB2312" w:hAnsi="仿宋_GB2312" w:eastAsia="仿宋_GB2312" w:cs="仿宋_GB2312"/>
          <w:b/>
          <w:i w:val="0"/>
          <w:caps w:val="0"/>
          <w:color w:val="000000"/>
          <w:spacing w:val="0"/>
          <w:sz w:val="32"/>
          <w:szCs w:val="32"/>
          <w:shd w:val="clear" w:fill="FFFFFF"/>
          <w:vertAlign w:val="baseline"/>
          <w:lang w:eastAsia="zh-CN"/>
        </w:rPr>
        <w:t>加强核心技术攻关，</w:t>
      </w:r>
      <w:r>
        <w:rPr>
          <w:rFonts w:hint="eastAsia" w:ascii="仿宋_GB2312" w:hAnsi="仿宋_GB2312" w:eastAsia="仿宋_GB2312" w:cs="仿宋_GB2312"/>
          <w:b/>
          <w:i w:val="0"/>
          <w:caps w:val="0"/>
          <w:color w:val="000000"/>
          <w:spacing w:val="0"/>
          <w:sz w:val="32"/>
          <w:szCs w:val="32"/>
          <w:shd w:val="clear" w:fill="FFFFFF"/>
          <w:vertAlign w:val="baseline"/>
        </w:rPr>
        <w:t>大力发展战略性新兴产业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shd w:val="clear" w:fill="FFFFFF"/>
          <w:vertAlign w:val="baseline"/>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shd w:val="clear" w:fill="FFFFFF"/>
          <w:vertAlign w:val="baseline"/>
        </w:rPr>
        <w:t>积极承接新兴产业布局和转移，着力培育高端装备制造、生物医药和生命健康、节能环保装备、新材料、新能源汽车、5G等战略性新兴产业集群，推动互联网、大数据、人工智能等为代表的新一代信息技术与各产业深度融合，构建一批各具特色、优势互补、结构合理的战略性产业增长引擎，培育新技术、新产品、新业态、新模式。</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baseline"/>
        <w:rPr>
          <w:rFonts w:hint="eastAsia" w:ascii="仿宋_GB2312" w:hAnsi="仿宋_GB2312" w:eastAsia="仿宋_GB2312" w:cs="仿宋_GB2312"/>
          <w:b w:val="0"/>
          <w:bCs/>
          <w:i w:val="0"/>
          <w:caps w:val="0"/>
          <w:color w:val="000000"/>
          <w:spacing w:val="0"/>
          <w:sz w:val="32"/>
          <w:szCs w:val="32"/>
        </w:rPr>
      </w:pPr>
      <w:r>
        <w:rPr>
          <w:rFonts w:hint="eastAsia" w:ascii="仿宋_GB2312" w:hAnsi="仿宋_GB2312" w:eastAsia="仿宋_GB2312" w:cs="仿宋_GB2312"/>
          <w:b w:val="0"/>
          <w:bCs/>
          <w:i w:val="0"/>
          <w:caps w:val="0"/>
          <w:color w:val="000000"/>
          <w:spacing w:val="0"/>
          <w:sz w:val="32"/>
          <w:szCs w:val="32"/>
          <w:shd w:val="clear" w:fill="FFFFFF"/>
          <w:vertAlign w:val="baseline"/>
        </w:rPr>
        <w:t>第一节高端装备产业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shd w:val="clear" w:fill="FFFFFF"/>
          <w:vertAlign w:val="baseline"/>
        </w:rPr>
        <w:t>加快驿城区高端专用车基地建设，以提高中高档车辆生产规模、优化产品结构、提升发展质量和水平为主攻方向，推动专用车产业向高端、智能、绿色发展，大力发展专用运输车、轻量化货车，加快专用车及零部件产业园建设，打造“高端专用车之都”。加快西平县、正阳县农业机械装备基地建设，以攻克核心工艺、关键零部件、关键作业装置为主攻方向，大力调整产品结构，推动农业机械向大型化、高端化、智能化、集成化、多功能化发展。加快驿城区电缆装备制造基地建设，以智能、高效、节能、环保为主攻方向，发挥资源和产业优势，加大技术研发，突破核心技术，延伸产业链条，推动光电传输器材产业高端高质高效发展，重点发展耐火阻燃电缆、控制电缆、光电复合电缆、绝缘电缆、高压电缆等特种电缆和隐形光缆、铝合金电缆等科技含量更高的电缆光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baseline"/>
        <w:rPr>
          <w:rFonts w:hint="eastAsia" w:ascii="仿宋_GB2312" w:hAnsi="仿宋_GB2312" w:eastAsia="仿宋_GB2312" w:cs="仿宋_GB2312"/>
          <w:b w:val="0"/>
          <w:bCs/>
          <w:i w:val="0"/>
          <w:caps w:val="0"/>
          <w:color w:val="000000"/>
          <w:spacing w:val="0"/>
          <w:sz w:val="32"/>
          <w:szCs w:val="32"/>
        </w:rPr>
      </w:pPr>
      <w:r>
        <w:rPr>
          <w:rFonts w:hint="eastAsia" w:ascii="仿宋_GB2312" w:hAnsi="仿宋_GB2312" w:eastAsia="仿宋_GB2312" w:cs="仿宋_GB2312"/>
          <w:b w:val="0"/>
          <w:bCs/>
          <w:i w:val="0"/>
          <w:caps w:val="0"/>
          <w:color w:val="000000"/>
          <w:spacing w:val="0"/>
          <w:sz w:val="32"/>
          <w:szCs w:val="32"/>
          <w:shd w:val="clear" w:fill="FFFFFF"/>
          <w:vertAlign w:val="baseline"/>
        </w:rPr>
        <w:t>第二节生物医药和生命健康产业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right="0" w:firstLine="648" w:firstLineChars="200"/>
        <w:jc w:val="both"/>
        <w:rPr>
          <w:rFonts w:hint="eastAsia" w:ascii="仿宋_GB2312" w:hAnsi="仿宋_GB2312" w:eastAsia="仿宋_GB2312" w:cs="仿宋_GB2312"/>
          <w:spacing w:val="0"/>
          <w:sz w:val="32"/>
          <w:szCs w:val="32"/>
          <w:lang w:val="en-US"/>
        </w:rPr>
      </w:pPr>
      <w:r>
        <w:rPr>
          <w:rFonts w:hint="eastAsia" w:ascii="仿宋_GB2312" w:hAnsi="仿宋_GB2312" w:eastAsia="仿宋_GB2312" w:cs="仿宋_GB2312"/>
          <w:color w:val="1B1B1B"/>
          <w:spacing w:val="0"/>
          <w:kern w:val="2"/>
          <w:sz w:val="32"/>
          <w:szCs w:val="32"/>
          <w:shd w:val="clear" w:fill="FFFFFF"/>
          <w:lang w:val="en-US" w:eastAsia="zh-CN" w:bidi="ar"/>
        </w:rPr>
        <w:t>持续打造“中国药谷”。充分发挥驻马店作为南药北移、北药南栽过渡地区的区位优势，现有医药基础的产业优势以及生态环境、现代物流、要素保障等比较优势，加强与中国通用技术集团、GE医疗等企业的战略合作，加快原料药及成品药、康复器具、农药兽药、医疗设备、中医药等产业链，发展中药种植、高端医疗器械、普惠养老等产业，着力在驻马店打造“中国药谷”、中国医药创新基地。</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bCs/>
          <w:i w:val="0"/>
          <w:caps w:val="0"/>
          <w:color w:val="000000"/>
          <w:spacing w:val="0"/>
          <w:sz w:val="32"/>
          <w:szCs w:val="32"/>
          <w:shd w:val="clear" w:fill="FFFFFF"/>
          <w:vertAlign w:val="baseline"/>
          <w:lang w:eastAsia="zh-CN"/>
        </w:rPr>
        <w:t>（一）</w:t>
      </w:r>
      <w:r>
        <w:rPr>
          <w:rFonts w:hint="eastAsia" w:ascii="仿宋_GB2312" w:hAnsi="仿宋_GB2312" w:eastAsia="仿宋_GB2312" w:cs="仿宋_GB2312"/>
          <w:b/>
          <w:bCs/>
          <w:i w:val="0"/>
          <w:caps w:val="0"/>
          <w:color w:val="000000"/>
          <w:spacing w:val="0"/>
          <w:sz w:val="32"/>
          <w:szCs w:val="32"/>
          <w:shd w:val="clear" w:fill="FFFFFF"/>
          <w:vertAlign w:val="baseline"/>
        </w:rPr>
        <w:t>推动生物医药产业创新发展。</w:t>
      </w:r>
      <w:r>
        <w:rPr>
          <w:rFonts w:hint="eastAsia" w:ascii="仿宋_GB2312" w:hAnsi="仿宋_GB2312" w:eastAsia="仿宋_GB2312" w:cs="仿宋_GB2312"/>
          <w:b w:val="0"/>
          <w:i w:val="0"/>
          <w:caps w:val="0"/>
          <w:color w:val="000000"/>
          <w:spacing w:val="0"/>
          <w:sz w:val="32"/>
          <w:szCs w:val="32"/>
          <w:shd w:val="clear" w:fill="FFFFFF"/>
          <w:vertAlign w:val="baseline"/>
        </w:rPr>
        <w:t>围绕恶性肿瘤、重大传染性疾病、心脑血管疾病、神经精神疾病、慢性病等领域防治重大需求，加快新药创制和产业化。鼓励医药龙头企业联合高校、科研院所、大型医疗机构建立转化医学和医药创新联盟，构建从先导化合物筛选、药物分析测试、转化医学研究、临床前药效和安全性评价、临床研究到中试的新药研制关键共性技术平台、公共技术服务平台和资源型共性平台，加快医药科研成果转化和产业化。重点围绕临床用量大、销售额位居前列的已经到期和即将到期专利药物，发展一批品牌通用名药的仿制药。支持发展新型中药产品和配方颗粒药物。加强源于经典名方的中药新药开发，加快名优大品种中成药二次开发、工艺优化与临床应用，推动创新中药产业化。推进云计算、大数据、人工智能与医药产业融合发展，鼓励建设智能工厂和数字化车间，实现药品生产过程智能化。建立覆盖产品全生命周期的质量管理体系和全产业链质量追溯体系，提升全过程质量管理水平。壮大生物医药产业集群，提升高新区生物医药产业园区建设水平，规划建设公共医药研发基地、公共医药物流基地。支持建设一批生物药中试放大平台、动物实验中心、高级别生物安全实验室等公共创新基础平台以及成果转化应用平台、检测服务平台等，吸引生物医药企业和项目集聚，建设成为中部生物医药产业高地。</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bCs/>
          <w:i w:val="0"/>
          <w:caps w:val="0"/>
          <w:color w:val="000000"/>
          <w:spacing w:val="0"/>
          <w:sz w:val="32"/>
          <w:szCs w:val="32"/>
          <w:shd w:val="clear" w:fill="FFFFFF"/>
          <w:vertAlign w:val="baseline"/>
          <w:lang w:eastAsia="zh-CN"/>
        </w:rPr>
        <w:t>（二）深挖</w:t>
      </w:r>
      <w:r>
        <w:rPr>
          <w:rFonts w:hint="eastAsia" w:ascii="仿宋_GB2312" w:hAnsi="仿宋_GB2312" w:eastAsia="仿宋_GB2312" w:cs="仿宋_GB2312"/>
          <w:b/>
          <w:bCs/>
          <w:i w:val="0"/>
          <w:caps w:val="0"/>
          <w:color w:val="000000"/>
          <w:spacing w:val="0"/>
          <w:sz w:val="32"/>
          <w:szCs w:val="32"/>
          <w:shd w:val="clear" w:fill="FFFFFF"/>
          <w:vertAlign w:val="baseline"/>
        </w:rPr>
        <w:t>现代中药</w:t>
      </w:r>
      <w:r>
        <w:rPr>
          <w:rFonts w:hint="eastAsia" w:ascii="仿宋_GB2312" w:hAnsi="仿宋_GB2312" w:eastAsia="仿宋_GB2312" w:cs="仿宋_GB2312"/>
          <w:b/>
          <w:bCs/>
          <w:i w:val="0"/>
          <w:caps w:val="0"/>
          <w:color w:val="000000"/>
          <w:spacing w:val="0"/>
          <w:sz w:val="32"/>
          <w:szCs w:val="32"/>
          <w:shd w:val="clear" w:fill="FFFFFF"/>
          <w:vertAlign w:val="baseline"/>
          <w:lang w:eastAsia="zh-CN"/>
        </w:rPr>
        <w:t>生产潜力</w:t>
      </w:r>
      <w:r>
        <w:rPr>
          <w:rFonts w:hint="eastAsia" w:ascii="仿宋_GB2312" w:hAnsi="仿宋_GB2312" w:eastAsia="仿宋_GB2312" w:cs="仿宋_GB2312"/>
          <w:b w:val="0"/>
          <w:i w:val="0"/>
          <w:caps w:val="0"/>
          <w:color w:val="000000"/>
          <w:spacing w:val="0"/>
          <w:sz w:val="32"/>
          <w:szCs w:val="32"/>
          <w:shd w:val="clear" w:fill="FFFFFF"/>
          <w:vertAlign w:val="baseline"/>
          <w:lang w:eastAsia="zh-CN"/>
        </w:rPr>
        <w:t>。</w:t>
      </w:r>
      <w:r>
        <w:rPr>
          <w:rFonts w:hint="eastAsia" w:ascii="仿宋_GB2312" w:hAnsi="仿宋_GB2312" w:eastAsia="仿宋_GB2312" w:cs="仿宋_GB2312"/>
          <w:b w:val="0"/>
          <w:i w:val="0"/>
          <w:caps w:val="0"/>
          <w:color w:val="000000"/>
          <w:spacing w:val="0"/>
          <w:sz w:val="32"/>
          <w:szCs w:val="32"/>
          <w:shd w:val="clear" w:fill="FFFFFF"/>
          <w:vertAlign w:val="baseline"/>
        </w:rPr>
        <w:t>针对心脑血管疾病、自身免疫性疾病、妇儿科疾病、老年性疾病等中医优势病种，推动经典名方二次开发应用，推动医疗机构院内制剂加速转化，形成一批疗效确切、剂型先进、临床价值高的特色中成药。引导企业优化中药材生产基地布局，应用信息技术完善中药材种植、生产、流通全过程质量管理和可追溯体系建设，提升夏枯草、野菊花、白花蛇舌草、徐长卿、鹅不食草、半枝莲、淫羊藿等道地药材的规范化、有机化种植水平，推动龟、鹿、金虫、地龙、水蛙等药用动物规模化养殖。鼓励企业参与中药行业国家标准制定，推动中药配方颗粒、中药饮片的规范化与标准化生产，鼓励企业优化无硫饮片、定量压制饮片、直接口服饮片等工艺，支持开发中药配方颗粒、冻干饮片、破壁饮片等特色饮片和中药提取物新产品。鼓励以夏枯草、野菊花、白花蛇舌草、徐长卿、金银花、淫羊藿等道地中药材为主要原料的兽用中药、药食同源、化妆品、中药日化产品等研发应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bCs/>
          <w:i w:val="0"/>
          <w:caps w:val="0"/>
          <w:color w:val="000000"/>
          <w:spacing w:val="0"/>
          <w:sz w:val="32"/>
          <w:szCs w:val="32"/>
          <w:shd w:val="clear" w:fill="FFFFFF"/>
          <w:vertAlign w:val="baseline"/>
          <w:lang w:eastAsia="zh-CN"/>
        </w:rPr>
        <w:t>（三）</w:t>
      </w:r>
      <w:r>
        <w:rPr>
          <w:rFonts w:hint="eastAsia" w:ascii="仿宋_GB2312" w:hAnsi="仿宋_GB2312" w:eastAsia="仿宋_GB2312" w:cs="仿宋_GB2312"/>
          <w:b/>
          <w:bCs/>
          <w:i w:val="0"/>
          <w:caps w:val="0"/>
          <w:color w:val="000000"/>
          <w:spacing w:val="0"/>
          <w:sz w:val="32"/>
          <w:szCs w:val="32"/>
          <w:shd w:val="clear" w:fill="FFFFFF"/>
          <w:vertAlign w:val="baseline"/>
        </w:rPr>
        <w:t>大力推进康复辅助器具产业发展</w:t>
      </w:r>
      <w:r>
        <w:rPr>
          <w:rFonts w:hint="eastAsia" w:ascii="仿宋_GB2312" w:hAnsi="仿宋_GB2312" w:eastAsia="仿宋_GB2312" w:cs="仿宋_GB2312"/>
          <w:b w:val="0"/>
          <w:i w:val="0"/>
          <w:caps w:val="0"/>
          <w:color w:val="000000"/>
          <w:spacing w:val="0"/>
          <w:sz w:val="32"/>
          <w:szCs w:val="32"/>
          <w:shd w:val="clear" w:fill="FFFFFF"/>
          <w:vertAlign w:val="baseline"/>
        </w:rPr>
        <w:t>。重点扶持智能康复机器人、3D打印、新材料等中高端领域具有自主知识产权的康复辅助器具产品。将老年人、伤病人护理照料，残疾人生活、教育和就业辅助、残疾儿童抢救性康复等作为优先发展领域。加快推进高新技术产业开发区康复辅助器具生产示范园、经济开发区康复辅助器具科技产业园、中医康养等项目建设。依托综合服务中心和日间照料中心，组织开展康复器具租赁试点工作，推进康复辅助器具产品进家庭、进社区、进机构，率先建成供应主体多元、经营服务规范的康复辅助器具社区租赁服务体系。到“十四五”末，力争将驻马店市打造成为中原地区康复辅助器具产业示范基地。</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baseline"/>
        <w:rPr>
          <w:rFonts w:hint="eastAsia" w:ascii="仿宋_GB2312" w:hAnsi="仿宋_GB2312" w:eastAsia="仿宋_GB2312" w:cs="仿宋_GB2312"/>
          <w:b w:val="0"/>
          <w:bCs/>
          <w:i w:val="0"/>
          <w:caps w:val="0"/>
          <w:color w:val="000000"/>
          <w:spacing w:val="0"/>
          <w:sz w:val="32"/>
          <w:szCs w:val="32"/>
        </w:rPr>
      </w:pPr>
      <w:r>
        <w:rPr>
          <w:rFonts w:hint="eastAsia" w:ascii="仿宋_GB2312" w:hAnsi="仿宋_GB2312" w:eastAsia="仿宋_GB2312" w:cs="仿宋_GB2312"/>
          <w:b w:val="0"/>
          <w:bCs/>
          <w:i w:val="0"/>
          <w:caps w:val="0"/>
          <w:color w:val="000000"/>
          <w:spacing w:val="0"/>
          <w:sz w:val="32"/>
          <w:szCs w:val="32"/>
          <w:shd w:val="clear" w:fill="FFFFFF"/>
          <w:vertAlign w:val="baseline"/>
        </w:rPr>
        <w:t>第三节节能环保和</w:t>
      </w:r>
      <w:r>
        <w:rPr>
          <w:rFonts w:hint="eastAsia" w:ascii="仿宋_GB2312" w:hAnsi="仿宋_GB2312" w:eastAsia="仿宋_GB2312" w:cs="仿宋_GB2312"/>
          <w:b w:val="0"/>
          <w:bCs/>
          <w:i w:val="0"/>
          <w:caps w:val="0"/>
          <w:color w:val="000000"/>
          <w:spacing w:val="0"/>
          <w:sz w:val="32"/>
          <w:szCs w:val="32"/>
          <w:shd w:val="clear" w:fill="FFFFFF"/>
          <w:vertAlign w:val="baseline"/>
          <w:lang w:eastAsia="zh-CN"/>
        </w:rPr>
        <w:t>装备</w:t>
      </w:r>
      <w:r>
        <w:rPr>
          <w:rFonts w:hint="eastAsia" w:ascii="仿宋_GB2312" w:hAnsi="仿宋_GB2312" w:eastAsia="仿宋_GB2312" w:cs="仿宋_GB2312"/>
          <w:b w:val="0"/>
          <w:bCs/>
          <w:i w:val="0"/>
          <w:caps w:val="0"/>
          <w:color w:val="000000"/>
          <w:spacing w:val="0"/>
          <w:sz w:val="32"/>
          <w:szCs w:val="32"/>
          <w:shd w:val="clear" w:fill="FFFFFF"/>
          <w:vertAlign w:val="baseline"/>
        </w:rPr>
        <w:t>产业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shd w:val="clear" w:fill="FFFFFF"/>
          <w:vertAlign w:val="baseline"/>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shd w:val="clear" w:fill="FFFFFF"/>
          <w:vertAlign w:val="baseline"/>
        </w:rPr>
        <w:t>推进工业锅炉和窑炉节能改造，重点发展新型高效锅炉系统设备、燃气窑炉、燃油锅炉、生物质锅炉、循环流化床锅炉等环保装备，实现锅炉窑炉的清洁燃烧和超低排放，做大做强具有我市特色的环保型装备和技术，形成中国节能环保锅炉领域具有影响力的知名品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shd w:val="clear" w:fill="FFFFFF"/>
          <w:vertAlign w:val="baseline"/>
        </w:rPr>
        <w:t>大力发展新型节能环保建筑材料，以废弃矿石、煤矸石、工业副产品石膏、粉煤灰等为重点，引进国内外循环利用龙头企业，建设确山县、泌阳县新型建材生产基地。支持秸秆代木、纤维原料等新技术的产业化发展，完善配套产业及下游产品开发，延伸秸秆综合利用产业链，积极发展秸秆轻体板、轻质复合墙体材料等，建设平舆县、遂平、汝南、新蔡县家居产业基地。推进西平县新型包装材料产业园建设。</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shd w:val="clear" w:fill="FFFFFF"/>
          <w:vertAlign w:val="baseline"/>
        </w:rPr>
        <w:t>以节能减排重点工程和环保基础设施建设为依托，优先发展产业关联度高、市场潜力大的节能环保技术装备，重点发展余热余压利用、高效电机、变压器、节能锅炉等重点节能装备技术，大气污染防治、水污染防治和土壤金属治理等重大环保技术，以及资源循环利用技术装备技术，扩大高效节能产品和先进环保装备的供给能力。培育壮大节能环保服务骨干企业，大力推动绿色产业发展和技术产品推广使用，推广园区第三方治理。到2025年全市节能环保产业主营业务收入超百亿。</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baseline"/>
        <w:rPr>
          <w:rFonts w:hint="eastAsia" w:ascii="仿宋_GB2312" w:hAnsi="仿宋_GB2312" w:eastAsia="仿宋_GB2312" w:cs="仿宋_GB2312"/>
          <w:b w:val="0"/>
          <w:bCs/>
          <w:i w:val="0"/>
          <w:caps w:val="0"/>
          <w:color w:val="000000"/>
          <w:spacing w:val="0"/>
          <w:sz w:val="32"/>
          <w:szCs w:val="32"/>
        </w:rPr>
      </w:pPr>
      <w:r>
        <w:rPr>
          <w:rFonts w:hint="eastAsia" w:ascii="仿宋_GB2312" w:hAnsi="仿宋_GB2312" w:eastAsia="仿宋_GB2312" w:cs="仿宋_GB2312"/>
          <w:b w:val="0"/>
          <w:bCs/>
          <w:i w:val="0"/>
          <w:caps w:val="0"/>
          <w:color w:val="000000"/>
          <w:spacing w:val="0"/>
          <w:sz w:val="32"/>
          <w:szCs w:val="32"/>
          <w:shd w:val="clear" w:fill="FFFFFF"/>
          <w:vertAlign w:val="baseline"/>
        </w:rPr>
        <w:t>第四节电子信息产业</w:t>
      </w:r>
    </w:p>
    <w:p>
      <w:pPr>
        <w:keepNext w:val="0"/>
        <w:keepLines w:val="0"/>
        <w:widowControl/>
        <w:suppressLineNumbers w:val="0"/>
        <w:ind w:firstLine="648" w:firstLineChars="200"/>
        <w:jc w:val="left"/>
        <w:rPr>
          <w:rFonts w:hint="eastAsia" w:ascii="仿宋_GB2312" w:hAnsi="仿宋_GB2312" w:eastAsia="仿宋_GB2312" w:cs="仿宋_GB2312"/>
          <w:b w:val="0"/>
          <w:i w:val="0"/>
          <w:caps w:val="0"/>
          <w:color w:val="000000"/>
          <w:spacing w:val="0"/>
          <w:sz w:val="32"/>
          <w:szCs w:val="32"/>
        </w:rPr>
      </w:pPr>
      <w:r>
        <w:rPr>
          <w:rFonts w:hint="eastAsia" w:ascii="仿宋" w:hAnsi="仿宋" w:eastAsia="仿宋" w:cs="仿宋"/>
          <w:kern w:val="0"/>
          <w:sz w:val="32"/>
          <w:szCs w:val="32"/>
          <w:lang w:val="en-US" w:eastAsia="zh-CN" w:bidi="ar"/>
        </w:rPr>
        <w:t>推进5G智能终端配套协作区建设，做大做强5G领域关键元器件、智能终端、精密机构件、关键光学元组件等配套产业和外围设备制造业。重点发展集成电路设计、专用芯片制造封装、专用材料等领域。积极引进集成电路设计、大尺寸硅片、功率器件、射频芯片、显示驱动芯片、传感芯片等项目。大力发展电源管理芯片、半导体材料、电子化学品等细分领域。</w:t>
      </w:r>
      <w:r>
        <w:rPr>
          <w:rFonts w:hint="eastAsia" w:ascii="仿宋_GB2312" w:hAnsi="仿宋_GB2312" w:eastAsia="仿宋_GB2312" w:cs="仿宋_GB2312"/>
          <w:b w:val="0"/>
          <w:i w:val="0"/>
          <w:caps w:val="0"/>
          <w:color w:val="000000"/>
          <w:spacing w:val="0"/>
          <w:sz w:val="32"/>
          <w:szCs w:val="32"/>
          <w:shd w:val="clear" w:fill="FFFFFF"/>
          <w:vertAlign w:val="baseline"/>
        </w:rPr>
        <w:t>重点建设泌阳县电子信息产业园区，加快提升产业集聚度，进一步优化产业链条，培育产业生态体系，加快形成新的增长点。重点布局新型显示、电子材料、智能终端及其配套产品和信息安全产业，加强信息安全共性关键技术攻关，重点推进信息安全关键基础硬件研发及产业化，带动软件、平台及服务发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baseline"/>
        <w:rPr>
          <w:rFonts w:hint="eastAsia" w:ascii="仿宋_GB2312" w:hAnsi="仿宋_GB2312" w:eastAsia="仿宋_GB2312" w:cs="仿宋_GB2312"/>
          <w:b w:val="0"/>
          <w:bCs/>
          <w:i w:val="0"/>
          <w:caps w:val="0"/>
          <w:color w:val="000000"/>
          <w:spacing w:val="0"/>
          <w:sz w:val="32"/>
          <w:szCs w:val="32"/>
        </w:rPr>
      </w:pPr>
      <w:r>
        <w:rPr>
          <w:rFonts w:hint="eastAsia" w:ascii="仿宋_GB2312" w:hAnsi="仿宋_GB2312" w:eastAsia="仿宋_GB2312" w:cs="仿宋_GB2312"/>
          <w:b w:val="0"/>
          <w:bCs/>
          <w:i w:val="0"/>
          <w:caps w:val="0"/>
          <w:color w:val="000000"/>
          <w:spacing w:val="0"/>
          <w:sz w:val="32"/>
          <w:szCs w:val="32"/>
          <w:shd w:val="clear" w:fill="FFFFFF"/>
          <w:vertAlign w:val="baseline"/>
        </w:rPr>
        <w:t>第五节新材料产业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shd w:val="clear" w:fill="FFFFFF"/>
          <w:vertAlign w:val="baseline"/>
        </w:rPr>
        <w:t>围绕汝南、驿城区新能源汽车、新能源电动车等优势产业需求，以提高可靠性和能量密度、降低生产成本为主攻方向，重点开发新型动力锂离子电池关键材料，支持发展镍氢电池、燃料电池研发及产业化，鼓励发展下一代高比能动力电池，加快发展锂离子电池隔膜、正极、负极等关键材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shd w:val="clear" w:fill="FFFFFF"/>
          <w:vertAlign w:val="baseline"/>
        </w:rPr>
        <w:t>加快玻璃行业产品升级和转型，重点发展节能玻璃、超薄超白玻璃、涂膜玻璃、高代频显基板玻璃、电子级玻璃纤维等高性能产品，推动节能、光伏、低辐射、超薄屏显、覆膜等玻璃加工技术创新，推动玻璃由建筑材料向功能材料转变。</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baseline"/>
        <w:rPr>
          <w:rFonts w:hint="eastAsia" w:ascii="仿宋_GB2312" w:hAnsi="仿宋_GB2312" w:eastAsia="仿宋_GB2312" w:cs="仿宋_GB2312"/>
          <w:b w:val="0"/>
          <w:bCs/>
          <w:i w:val="0"/>
          <w:caps w:val="0"/>
          <w:color w:val="000000"/>
          <w:spacing w:val="0"/>
          <w:sz w:val="32"/>
          <w:szCs w:val="32"/>
        </w:rPr>
      </w:pPr>
      <w:r>
        <w:rPr>
          <w:rFonts w:hint="eastAsia" w:ascii="仿宋_GB2312" w:hAnsi="仿宋_GB2312" w:eastAsia="仿宋_GB2312" w:cs="仿宋_GB2312"/>
          <w:b w:val="0"/>
          <w:bCs/>
          <w:i w:val="0"/>
          <w:caps w:val="0"/>
          <w:color w:val="000000"/>
          <w:spacing w:val="0"/>
          <w:sz w:val="32"/>
          <w:szCs w:val="32"/>
          <w:shd w:val="clear" w:fill="FFFFFF"/>
          <w:vertAlign w:val="baseline"/>
        </w:rPr>
        <w:t>第六节新能源汽车（电动车）产业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shd w:val="clear" w:fill="FFFFFF"/>
          <w:vertAlign w:val="baseline"/>
        </w:rPr>
        <w:t>依托驿城区新能源汽车和汝南新能源电动车生产基地，大力发展新能源汽车、新能源电动车整车，积极推动电动专用车、电动乘用车、电动场地车等整车产业化和扩量提质，打造全省重要的新能源及车联网产业基地。增加车型储备，努力提高车身结构和材料轻量化技术水平，形成规模化生产能力。着力突破电机、电控等关键零部件核心技术，积极发展大功率永磁电机及电动汽车（电动车）整车控制系统，加快电力电子模块、高可靠控制器、传感器、执行器、能量优化管理系统等配套产品，加快开发混合动力多能源管理系统，积极发展大功率等车用功率型电子元器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baseline"/>
        <w:rPr>
          <w:rFonts w:hint="eastAsia" w:ascii="仿宋_GB2312" w:hAnsi="仿宋_GB2312" w:eastAsia="仿宋_GB2312" w:cs="仿宋_GB2312"/>
          <w:b w:val="0"/>
          <w:bCs/>
          <w:i w:val="0"/>
          <w:caps w:val="0"/>
          <w:color w:val="000000"/>
          <w:spacing w:val="0"/>
          <w:sz w:val="32"/>
          <w:szCs w:val="32"/>
        </w:rPr>
      </w:pPr>
      <w:r>
        <w:rPr>
          <w:rFonts w:hint="eastAsia" w:ascii="仿宋_GB2312" w:hAnsi="仿宋_GB2312" w:eastAsia="仿宋_GB2312" w:cs="仿宋_GB2312"/>
          <w:b w:val="0"/>
          <w:bCs/>
          <w:i w:val="0"/>
          <w:caps w:val="0"/>
          <w:color w:val="000000"/>
          <w:spacing w:val="0"/>
          <w:sz w:val="32"/>
          <w:szCs w:val="32"/>
          <w:shd w:val="clear" w:fill="FFFFFF"/>
          <w:vertAlign w:val="baseline"/>
        </w:rPr>
        <w:t>第七节5G产业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shd w:val="clear" w:fill="FFFFFF"/>
          <w:vertAlign w:val="baseline"/>
          <w:lang w:eastAsia="zh-CN"/>
        </w:rPr>
      </w:pPr>
      <w:r>
        <w:rPr>
          <w:rFonts w:hint="eastAsia" w:ascii="仿宋_GB2312" w:hAnsi="仿宋_GB2312" w:eastAsia="仿宋_GB2312" w:cs="仿宋_GB2312"/>
          <w:b w:val="0"/>
          <w:i w:val="0"/>
          <w:caps w:val="0"/>
          <w:color w:val="000000"/>
          <w:spacing w:val="0"/>
          <w:sz w:val="32"/>
          <w:szCs w:val="32"/>
          <w:shd w:val="clear" w:fill="FFFFFF"/>
          <w:vertAlign w:val="baseline"/>
        </w:rPr>
        <w:t>加快5G基础设施建设，构建“稳、宽、活、智”承载网，保障5G网络建设需求。开展5G规模组网，推动公共建筑物、弱电井管道、杆塔、绿地等资源向5G基站建设开放。组建驻马店5G产业联盟，依托产业联盟、黄淮学院“河南省智慧照明重点实验室”及市级科研机构和重点实验室，聚焦5G发展、光纤宽带网络、政府信息化、新型智慧城市等重点领域，联合上下游产业链合作伙伴，构建新型数字经济生态圈。建设5G设备生产制造及产业应用基地，发展智能网联车、自动驾驶、智慧物流、5G+VR/AR及智慧文旅产业，助力我市5G全产业链条的形成与快速发展。加快发展5G+智慧农业产业，积极发展和培育农业高新技术企业，依托省级重点实验室等科研机构，构建“全程光谱、精准高效、信息共享、数据决策”的“5G+农业光谱大数据+农业物联网”整体解决方案，打造中国农业光谱大数据+农业物联网平台。建设5G应用示范基地，对中国农加工投洽会、产教融合发展国际论坛、中国山地马拉松系列赛等各种大型国际级国家级会议、活动、赛事、演出进行高品质网络直播，提升城市形象。实现5G+物联网，探索构建基于5G技术的工业互联网平台体系。建设5G智慧园区、5G+VR/AR、5G智能工厂、5G智慧医疗、5G智慧校园、5G智慧交通、5G智慧城市建设</w:t>
      </w:r>
      <w:r>
        <w:rPr>
          <w:rFonts w:hint="eastAsia" w:ascii="仿宋_GB2312" w:hAnsi="仿宋_GB2312" w:eastAsia="仿宋_GB2312" w:cs="仿宋_GB2312"/>
          <w:b w:val="0"/>
          <w:i w:val="0"/>
          <w:caps w:val="0"/>
          <w:color w:val="000000"/>
          <w:spacing w:val="0"/>
          <w:sz w:val="32"/>
          <w:szCs w:val="32"/>
          <w:shd w:val="clear" w:fill="FFFFFF"/>
          <w:vertAlign w:val="baseline"/>
          <w:lang w:eastAsia="zh-CN"/>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8520"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center"/>
              <w:rPr>
                <w:rFonts w:hint="eastAsia" w:ascii="仿宋_GB2312" w:hAnsi="仿宋_GB2312" w:eastAsia="仿宋_GB2312" w:cs="仿宋_GB2312"/>
                <w:spacing w:val="0"/>
                <w:sz w:val="32"/>
                <w:szCs w:val="32"/>
                <w:vertAlign w:val="baseline"/>
              </w:rPr>
            </w:pPr>
            <w:r>
              <w:rPr>
                <w:rFonts w:hint="eastAsia" w:ascii="仿宋_GB2312" w:hAnsi="仿宋_GB2312" w:eastAsia="仿宋_GB2312" w:cs="仿宋_GB2312"/>
                <w:b/>
                <w:i w:val="0"/>
                <w:caps w:val="0"/>
                <w:color w:val="000000"/>
                <w:spacing w:val="0"/>
                <w:sz w:val="32"/>
                <w:szCs w:val="32"/>
                <w:shd w:val="clear" w:fill="FFFFFF"/>
                <w:vertAlign w:val="baseline"/>
                <w:lang w:eastAsia="zh-CN"/>
              </w:rPr>
              <w:t>专栏三、</w:t>
            </w:r>
            <w:r>
              <w:rPr>
                <w:rFonts w:hint="eastAsia" w:ascii="仿宋_GB2312" w:hAnsi="仿宋_GB2312" w:eastAsia="仿宋_GB2312" w:cs="仿宋_GB2312"/>
                <w:b/>
                <w:i w:val="0"/>
                <w:caps w:val="0"/>
                <w:color w:val="000000"/>
                <w:spacing w:val="0"/>
                <w:sz w:val="32"/>
                <w:szCs w:val="32"/>
                <w:shd w:val="clear" w:fill="FFFFFF"/>
                <w:vertAlign w:val="baseline"/>
              </w:rPr>
              <w:t>战略性新兴产业</w:t>
            </w:r>
            <w:r>
              <w:rPr>
                <w:rFonts w:hint="eastAsia" w:ascii="仿宋_GB2312" w:hAnsi="仿宋_GB2312" w:eastAsia="仿宋_GB2312" w:cs="仿宋_GB2312"/>
                <w:b/>
                <w:i w:val="0"/>
                <w:caps w:val="0"/>
                <w:color w:val="000000"/>
                <w:spacing w:val="0"/>
                <w:sz w:val="32"/>
                <w:szCs w:val="32"/>
                <w:shd w:val="clear" w:fill="FFFFFF"/>
                <w:vertAlign w:val="baseline"/>
                <w:lang w:eastAsia="zh-CN"/>
              </w:rPr>
              <w:t>重大</w:t>
            </w:r>
            <w:r>
              <w:rPr>
                <w:rFonts w:hint="eastAsia" w:ascii="仿宋_GB2312" w:hAnsi="仿宋_GB2312" w:eastAsia="仿宋_GB2312" w:cs="仿宋_GB2312"/>
                <w:b/>
                <w:spacing w:val="0"/>
                <w:kern w:val="0"/>
                <w:sz w:val="32"/>
                <w:szCs w:val="32"/>
                <w:lang w:val="en-US" w:eastAsia="zh-CN" w:bidi="ar"/>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520"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2"/>
                <w:szCs w:val="32"/>
              </w:rPr>
            </w:pPr>
            <w:r>
              <w:rPr>
                <w:rFonts w:hint="eastAsia" w:ascii="仿宋_GB2312" w:hAnsi="仿宋_GB2312" w:eastAsia="仿宋_GB2312" w:cs="仿宋_GB2312"/>
                <w:b/>
                <w:spacing w:val="0"/>
                <w:sz w:val="32"/>
                <w:szCs w:val="32"/>
              </w:rPr>
              <w:t>1、</w:t>
            </w:r>
            <w:r>
              <w:rPr>
                <w:rFonts w:hint="eastAsia" w:ascii="仿宋_GB2312" w:hAnsi="仿宋_GB2312" w:eastAsia="仿宋_GB2312" w:cs="仿宋_GB2312"/>
                <w:spacing w:val="0"/>
                <w:kern w:val="0"/>
                <w:sz w:val="32"/>
                <w:szCs w:val="32"/>
                <w:lang w:val="en-US" w:eastAsia="zh-CN" w:bidi="ar"/>
              </w:rPr>
              <w:t>依托驿城区高端专用车基地、西平县和正阳县农业机械装备基地等，大力发展专用运输车及其关键基础制造装备、电缆装备、智能制造装备等，力争在全省高端装备制造业中占有重要地位。</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Autospacing="0" w:line="580" w:lineRule="exact"/>
              <w:rPr>
                <w:rFonts w:hint="eastAsia" w:ascii="仿宋_GB2312" w:hAnsi="仿宋_GB2312" w:eastAsia="仿宋_GB2312" w:cs="仿宋_GB2312"/>
                <w:spacing w:val="0"/>
                <w:sz w:val="32"/>
                <w:szCs w:val="32"/>
              </w:rPr>
            </w:pPr>
            <w:r>
              <w:rPr>
                <w:rFonts w:hint="eastAsia" w:ascii="仿宋_GB2312" w:hAnsi="仿宋_GB2312" w:eastAsia="仿宋_GB2312" w:cs="仿宋_GB2312"/>
                <w:b/>
                <w:spacing w:val="0"/>
                <w:sz w:val="32"/>
                <w:szCs w:val="32"/>
              </w:rPr>
              <w:t>2、</w:t>
            </w:r>
            <w:r>
              <w:rPr>
                <w:rFonts w:hint="eastAsia" w:ascii="仿宋_GB2312" w:hAnsi="仿宋_GB2312" w:eastAsia="仿宋_GB2312" w:cs="仿宋_GB2312"/>
                <w:spacing w:val="0"/>
                <w:sz w:val="32"/>
                <w:szCs w:val="32"/>
              </w:rPr>
              <w:t>打造“中国药谷”，力争全市生物制药产业主营业务收入达到400亿元，现代生物和生命健康产业规模超过500亿元， 发展成为国内重要的生物医药产业研发和生产基地。生命健康服务新业态快速发展，精准医学、智慧医疗等创新服务能力达到省内先进水平。</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kern w:val="0"/>
                <w:sz w:val="32"/>
                <w:szCs w:val="32"/>
                <w:lang w:val="en-US" w:eastAsia="zh-CN" w:bidi="ar"/>
              </w:rPr>
            </w:pPr>
            <w:r>
              <w:rPr>
                <w:rFonts w:hint="eastAsia" w:ascii="仿宋_GB2312" w:hAnsi="仿宋_GB2312" w:eastAsia="仿宋_GB2312" w:cs="仿宋_GB2312"/>
                <w:spacing w:val="0"/>
                <w:kern w:val="0"/>
                <w:sz w:val="32"/>
                <w:szCs w:val="32"/>
                <w:lang w:val="en-US" w:eastAsia="zh-CN" w:bidi="ar"/>
              </w:rPr>
              <w:t>3、培育形成1-2个百亿级节能环保产业和装备园区，培育和引进一批环保装备和服务骨干企业，全市环保装备和服务产业主营业务收入达到100亿元左右，环保装备和服务产业总产值年均增长15%左右，形成全市经济发展的新动能和增长点。</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2"/>
                <w:szCs w:val="32"/>
              </w:rPr>
            </w:pPr>
            <w:r>
              <w:rPr>
                <w:rFonts w:hint="eastAsia" w:ascii="仿宋_GB2312" w:hAnsi="仿宋_GB2312" w:eastAsia="仿宋_GB2312" w:cs="仿宋_GB2312"/>
                <w:b/>
                <w:spacing w:val="0"/>
                <w:sz w:val="32"/>
                <w:szCs w:val="32"/>
              </w:rPr>
              <w:t>4、</w:t>
            </w:r>
            <w:r>
              <w:rPr>
                <w:rFonts w:hint="eastAsia" w:ascii="仿宋_GB2312" w:hAnsi="仿宋_GB2312" w:eastAsia="仿宋_GB2312" w:cs="仿宋_GB2312"/>
                <w:spacing w:val="0"/>
                <w:kern w:val="0"/>
                <w:sz w:val="32"/>
                <w:szCs w:val="32"/>
                <w:lang w:val="en-US" w:eastAsia="zh-CN" w:bidi="ar"/>
              </w:rPr>
              <w:t>打造中原地区具有一定影响力的新型材料研发制造和生产基地，实现高新区园区年主营业收入达到50亿元以上。依托河南鹏辉电源有限公司等龙头企业，打造全国有一定影响力的动力电池生产基地，2025年主营业收入达到20亿元。</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kern w:val="0"/>
                <w:sz w:val="32"/>
                <w:szCs w:val="32"/>
                <w:lang w:val="en-US" w:eastAsia="zh-CN" w:bidi="ar"/>
              </w:rPr>
              <w:t>5、力争全市电子信息制造业主营业务收入超过160亿元，打造电子信息产业知名品牌，主要产品质量技术指标达到国际先进水平。</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kern w:val="0"/>
                <w:sz w:val="32"/>
                <w:szCs w:val="32"/>
                <w:lang w:val="en-US" w:eastAsia="zh-CN" w:bidi="ar"/>
              </w:rPr>
              <w:t>6、依托驿城区新能源汽车和汝南新能源电动车生产基地，大力发展新能源汽车、新能源电动车整车，积极推动电动专用车、电动乘用车、电动场地车等整车产业化和扩量提质，打造全省重要的新能源及车联网产业基地。</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2"/>
                <w:szCs w:val="32"/>
                <w:vertAlign w:val="baseline"/>
              </w:rPr>
            </w:pPr>
            <w:r>
              <w:rPr>
                <w:rFonts w:hint="eastAsia" w:ascii="仿宋_GB2312" w:hAnsi="仿宋_GB2312" w:eastAsia="仿宋_GB2312" w:cs="仿宋_GB2312"/>
                <w:spacing w:val="0"/>
                <w:sz w:val="32"/>
                <w:szCs w:val="32"/>
                <w:lang w:val="en-US" w:eastAsia="zh-CN"/>
              </w:rPr>
              <w:t>7、</w:t>
            </w:r>
            <w:r>
              <w:rPr>
                <w:rFonts w:hint="eastAsia" w:ascii="仿宋_GB2312" w:hAnsi="仿宋_GB2312" w:eastAsia="仿宋_GB2312" w:cs="仿宋_GB2312"/>
                <w:spacing w:val="0"/>
                <w:kern w:val="0"/>
                <w:sz w:val="32"/>
                <w:szCs w:val="32"/>
                <w:lang w:val="en-US" w:eastAsia="zh-CN" w:bidi="ar"/>
              </w:rPr>
              <w:t>到2025年，5G渗透于生产、生活、科技、智慧城市、农业农村等各领域，实现全市从城区到乡村移动5G网络全覆盖，打造全省5G建设先行区。</w:t>
            </w:r>
          </w:p>
        </w:tc>
      </w:tr>
    </w:tbl>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shd w:val="clear" w:fill="FFFFFF"/>
          <w:vertAlign w:val="baseline"/>
          <w:lang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p>
    <w:p>
      <w:pPr>
        <w:pStyle w:val="2"/>
        <w:keepNext w:val="0"/>
        <w:keepLines w:val="0"/>
        <w:pageBreakBefore w:val="0"/>
        <w:kinsoku/>
        <w:wordWrap/>
        <w:overflowPunct/>
        <w:topLinePunct w:val="0"/>
        <w:autoSpaceDE/>
        <w:autoSpaceDN/>
        <w:bidi w:val="0"/>
        <w:adjustRightInd/>
        <w:snapToGrid/>
        <w:spacing w:beforeAutospacing="0" w:afterAutospacing="0" w:line="580" w:lineRule="exact"/>
        <w:ind w:left="0" w:right="0" w:firstLine="0" w:firstLineChars="0"/>
        <w:jc w:val="center"/>
        <w:rPr>
          <w:rFonts w:hint="eastAsia" w:ascii="仿宋_GB2312" w:hAnsi="仿宋_GB2312" w:eastAsia="仿宋_GB2312" w:cs="仿宋_GB2312"/>
          <w:b/>
          <w:bCs/>
          <w:spacing w:val="0"/>
          <w:sz w:val="32"/>
          <w:szCs w:val="32"/>
        </w:rPr>
      </w:pPr>
      <w:r>
        <w:rPr>
          <w:rFonts w:hint="eastAsia" w:ascii="仿宋_GB2312" w:hAnsi="仿宋_GB2312" w:eastAsia="仿宋_GB2312" w:cs="仿宋_GB2312"/>
          <w:b/>
          <w:i w:val="0"/>
          <w:caps w:val="0"/>
          <w:color w:val="000000"/>
          <w:spacing w:val="0"/>
          <w:sz w:val="32"/>
          <w:szCs w:val="32"/>
          <w:shd w:val="clear" w:fill="FFFFFF"/>
          <w:vertAlign w:val="baseline"/>
        </w:rPr>
        <w:t>第</w:t>
      </w:r>
      <w:r>
        <w:rPr>
          <w:rFonts w:hint="eastAsia" w:ascii="仿宋_GB2312" w:hAnsi="仿宋_GB2312" w:eastAsia="仿宋_GB2312" w:cs="仿宋_GB2312"/>
          <w:b/>
          <w:i w:val="0"/>
          <w:caps w:val="0"/>
          <w:color w:val="000000"/>
          <w:spacing w:val="0"/>
          <w:sz w:val="32"/>
          <w:szCs w:val="32"/>
          <w:shd w:val="clear" w:fill="FFFFFF"/>
          <w:vertAlign w:val="baseline"/>
          <w:lang w:eastAsia="zh-CN"/>
        </w:rPr>
        <w:t>七</w:t>
      </w:r>
      <w:r>
        <w:rPr>
          <w:rFonts w:hint="eastAsia" w:ascii="仿宋_GB2312" w:hAnsi="仿宋_GB2312" w:eastAsia="仿宋_GB2312" w:cs="仿宋_GB2312"/>
          <w:b/>
          <w:i w:val="0"/>
          <w:caps w:val="0"/>
          <w:color w:val="000000"/>
          <w:spacing w:val="0"/>
          <w:sz w:val="32"/>
          <w:szCs w:val="32"/>
          <w:shd w:val="clear" w:fill="FFFFFF"/>
          <w:vertAlign w:val="baseline"/>
        </w:rPr>
        <w:t>章 </w:t>
      </w:r>
      <w:r>
        <w:rPr>
          <w:rFonts w:hint="eastAsia" w:ascii="仿宋_GB2312" w:hAnsi="仿宋_GB2312" w:eastAsia="仿宋_GB2312" w:cs="仿宋_GB2312"/>
          <w:b/>
          <w:bCs/>
          <w:spacing w:val="0"/>
          <w:sz w:val="32"/>
          <w:szCs w:val="32"/>
        </w:rPr>
        <w:t>激发创新</w:t>
      </w:r>
      <w:r>
        <w:rPr>
          <w:rFonts w:hint="eastAsia" w:ascii="仿宋_GB2312" w:hAnsi="仿宋_GB2312" w:eastAsia="仿宋_GB2312" w:cs="仿宋_GB2312"/>
          <w:b/>
          <w:bCs/>
          <w:spacing w:val="0"/>
          <w:sz w:val="32"/>
          <w:szCs w:val="32"/>
          <w:lang w:eastAsia="zh-CN"/>
        </w:rPr>
        <w:t>活</w:t>
      </w:r>
      <w:r>
        <w:rPr>
          <w:rFonts w:hint="eastAsia" w:ascii="仿宋_GB2312" w:hAnsi="仿宋_GB2312" w:eastAsia="仿宋_GB2312" w:cs="仿宋_GB2312"/>
          <w:b/>
          <w:bCs/>
          <w:spacing w:val="0"/>
          <w:sz w:val="32"/>
          <w:szCs w:val="32"/>
        </w:rPr>
        <w:t>力，积蓄高质量发展新动能</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ind w:firstLine="648" w:firstLineChars="200"/>
        <w:jc w:val="left"/>
        <w:rPr>
          <w:rFonts w:hint="eastAsia" w:ascii="仿宋_GB2312" w:hAnsi="仿宋_GB2312" w:eastAsia="仿宋_GB2312" w:cs="仿宋_GB2312"/>
          <w:b w:val="0"/>
          <w:bCs w:val="0"/>
          <w:spacing w:val="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ind w:firstLine="648" w:firstLineChars="200"/>
        <w:jc w:val="left"/>
        <w:rPr>
          <w:rFonts w:hint="eastAsia" w:ascii="仿宋_GB2312" w:hAnsi="仿宋_GB2312" w:eastAsia="仿宋_GB2312" w:cs="仿宋_GB2312"/>
          <w:b w:val="0"/>
          <w:bCs w:val="0"/>
          <w:spacing w:val="0"/>
          <w:sz w:val="32"/>
          <w:szCs w:val="32"/>
        </w:rPr>
      </w:pPr>
      <w:r>
        <w:rPr>
          <w:rFonts w:hint="eastAsia" w:ascii="仿宋_GB2312" w:hAnsi="仿宋_GB2312" w:eastAsia="仿宋_GB2312" w:cs="仿宋_GB2312"/>
          <w:b w:val="0"/>
          <w:bCs w:val="0"/>
          <w:spacing w:val="0"/>
          <w:kern w:val="0"/>
          <w:sz w:val="32"/>
          <w:szCs w:val="32"/>
          <w:lang w:val="en-US" w:eastAsia="zh-CN" w:bidi="ar"/>
        </w:rPr>
        <w:t>坚持创新驱动发展，把创新发展摆在驻马店现代化建设的核心位置；紧盯驻马店建设“现代化区域中心城市”的战略目标，</w:t>
      </w:r>
      <w:r>
        <w:rPr>
          <w:rFonts w:hint="eastAsia" w:ascii="仿宋_GB2312" w:hAnsi="仿宋_GB2312" w:eastAsia="仿宋_GB2312" w:cs="仿宋_GB2312"/>
          <w:spacing w:val="0"/>
          <w:kern w:val="0"/>
          <w:sz w:val="32"/>
          <w:szCs w:val="32"/>
          <w:lang w:val="en-US" w:eastAsia="zh-CN" w:bidi="ar"/>
        </w:rPr>
        <w:t>大力实施科教兴市、人才强市、创新驱动发展战略，构建全区域、全产业、全环节创新链条，以科技创新催生新发展动能，加快形成以创新为引领和支撑的发展模式。</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baseline"/>
        <w:rPr>
          <w:rFonts w:hint="eastAsia" w:ascii="仿宋_GB2312" w:hAnsi="仿宋_GB2312" w:eastAsia="仿宋_GB2312" w:cs="仿宋_GB2312"/>
          <w:b w:val="0"/>
          <w:bCs/>
          <w:i w:val="0"/>
          <w:caps w:val="0"/>
          <w:color w:val="000000"/>
          <w:spacing w:val="0"/>
          <w:sz w:val="32"/>
          <w:szCs w:val="32"/>
          <w:shd w:val="clear" w:fill="FFFFFF"/>
          <w:vertAlign w:val="baseline"/>
        </w:rPr>
      </w:pPr>
      <w:r>
        <w:rPr>
          <w:rFonts w:hint="eastAsia" w:ascii="仿宋_GB2312" w:hAnsi="仿宋_GB2312" w:eastAsia="仿宋_GB2312" w:cs="仿宋_GB2312"/>
          <w:b w:val="0"/>
          <w:bCs/>
          <w:i w:val="0"/>
          <w:caps w:val="0"/>
          <w:color w:val="000000"/>
          <w:spacing w:val="0"/>
          <w:kern w:val="0"/>
          <w:sz w:val="32"/>
          <w:szCs w:val="32"/>
          <w:vertAlign w:val="baseline"/>
          <w:lang w:val="en-US" w:eastAsia="zh-CN" w:bidi="ar"/>
        </w:rPr>
        <w:t>第一节</w:t>
      </w:r>
      <w:r>
        <w:rPr>
          <w:rFonts w:hint="eastAsia" w:ascii="仿宋_GB2312" w:hAnsi="仿宋_GB2312" w:eastAsia="仿宋_GB2312" w:cs="仿宋_GB2312"/>
          <w:b w:val="0"/>
          <w:bCs/>
          <w:i w:val="0"/>
          <w:caps w:val="0"/>
          <w:color w:val="000000"/>
          <w:spacing w:val="0"/>
          <w:sz w:val="32"/>
          <w:szCs w:val="32"/>
          <w:shd w:val="clear" w:fill="FFFFFF"/>
          <w:vertAlign w:val="baseline"/>
        </w:rPr>
        <w:t>完善科技创新体制机制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shd w:val="clear" w:fill="FFFFFF"/>
          <w:vertAlign w:val="baseline"/>
        </w:rPr>
        <w:t>深化科技体制改革，加快科技管理职能转变，推进重点领域项目、基地、人才、资金一体化配置。改进科技项目组织管理方式，实行重点项目攻关“揭榜挂帅”等制度。探索科研项目经理人制度，落实赋予科研人员更大人财物支配权和技术路线决策权，进一步下放科技成果使用、处置和收益权。加快科研院所改革，扩大科研自主权。加强知识产权保护、应用和服务体系建设，提高科技成果转移转化成效。对新产业新业态实行包容审慎监管，促进大众创业万众创新。弘扬科学精神和工匠精神，加强科普工作，提升全民科学素质，营造崇尚创新的浓厚氛围。</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shd w:val="clear" w:fill="FFFFFF"/>
          <w:vertAlign w:val="baseline"/>
        </w:rPr>
        <w:t>建立持续稳定的财政科技投入增长机制，加大科技研发投入力度，提高重大创新平台运行经费补助标准，扩大创新产品政府采购规模。统筹安排、优先保障重大科技专项、科研基地、科技队伍建设、科技基础条件等重点科技支出需求，加强对应用基础研究与前沿技术、社会公益研究的支持。全面落实高新技术企业所得税优惠，研发费用加计扣除等普惠性政策，实施更大力度的企业研发投入财政奖补政策，引导企业加大研发投入，到2025年，全社会研发投入强度实现“翻一番”。</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shd w:val="clear" w:fill="FFFFFF"/>
          <w:vertAlign w:val="baseline"/>
        </w:rPr>
      </w:pPr>
      <w:r>
        <w:rPr>
          <w:rFonts w:hint="eastAsia" w:ascii="仿宋_GB2312" w:hAnsi="仿宋_GB2312" w:eastAsia="仿宋_GB2312" w:cs="仿宋_GB2312"/>
          <w:b w:val="0"/>
          <w:i w:val="0"/>
          <w:caps w:val="0"/>
          <w:color w:val="000000"/>
          <w:spacing w:val="0"/>
          <w:sz w:val="32"/>
          <w:szCs w:val="32"/>
          <w:shd w:val="clear" w:fill="FFFFFF"/>
          <w:vertAlign w:val="baseline"/>
        </w:rPr>
        <w:t>完善科技金融支持体系，创新投贷联动、股债结合、融资租赁、知识产权质押融资、专利保险等产品和服务，加快发展天使投资、创业投资和产业融资基金。鼓励保险公司加大产品和服务创新力度，为科技创新提供全面的风险保障。规范发展科技金融中介服务，加快发展信用评级、资产评估、融资担保、投资咨询等专业服务机构。支持以科技型中小企业贷款为主要业务的小额贷款机构的发展，鼓励创业投资机构落户我市。</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right="0" w:firstLine="0" w:firstLineChars="0"/>
        <w:jc w:val="center"/>
        <w:rPr>
          <w:rFonts w:hint="eastAsia" w:ascii="仿宋_GB2312" w:hAnsi="仿宋_GB2312" w:eastAsia="仿宋_GB2312" w:cs="仿宋_GB2312"/>
          <w:b w:val="0"/>
          <w:bCs/>
          <w:spacing w:val="0"/>
          <w:sz w:val="32"/>
          <w:szCs w:val="32"/>
        </w:rPr>
      </w:pPr>
      <w:r>
        <w:rPr>
          <w:rFonts w:hint="eastAsia" w:ascii="仿宋_GB2312" w:hAnsi="仿宋_GB2312" w:eastAsia="仿宋_GB2312" w:cs="仿宋_GB2312"/>
          <w:b w:val="0"/>
          <w:bCs/>
          <w:i w:val="0"/>
          <w:caps w:val="0"/>
          <w:color w:val="000000"/>
          <w:spacing w:val="0"/>
          <w:kern w:val="0"/>
          <w:sz w:val="32"/>
          <w:szCs w:val="32"/>
          <w:vertAlign w:val="baseline"/>
          <w:lang w:val="en-US" w:eastAsia="zh-CN" w:bidi="ar"/>
        </w:rPr>
        <w:t>第二节 加快集聚高端创新资源</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spacing w:val="0"/>
          <w:kern w:val="2"/>
          <w:sz w:val="32"/>
          <w:szCs w:val="32"/>
          <w:lang w:val="en-US" w:eastAsia="zh-CN" w:bidi="ar-SA"/>
        </w:rPr>
      </w:pPr>
      <w:r>
        <w:rPr>
          <w:rFonts w:hint="eastAsia" w:ascii="仿宋_GB2312" w:hAnsi="仿宋_GB2312" w:eastAsia="仿宋_GB2312" w:cs="仿宋_GB2312"/>
          <w:spacing w:val="0"/>
          <w:kern w:val="2"/>
          <w:sz w:val="32"/>
          <w:szCs w:val="32"/>
          <w:lang w:val="en-US" w:eastAsia="zh-CN" w:bidi="ar-SA"/>
        </w:rPr>
        <w:t>抓住国家优化科技资源布局机遇，积极争取国家生物育种中心驻马店分中心、现代农业科学试验基地、国家实验室、综合性国家科学中心、重大科技基础设施、综合性产业创新中心等平台布局，到2025年，争创10家省级以上产业创新中心（技术创新中心、制造业创新中心等），新增60家省级以上工程研究中心（重点实验室、企业技术中心等），实现大中型企业研发中心全覆盖，力争省级以上创新平台数量进入全省前列。</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spacing w:val="0"/>
          <w:kern w:val="2"/>
          <w:sz w:val="32"/>
          <w:szCs w:val="32"/>
          <w:lang w:val="en-US" w:eastAsia="zh-CN" w:bidi="ar-SA"/>
        </w:rPr>
      </w:pPr>
      <w:r>
        <w:rPr>
          <w:rFonts w:hint="eastAsia" w:ascii="仿宋_GB2312" w:hAnsi="仿宋_GB2312" w:eastAsia="仿宋_GB2312" w:cs="仿宋_GB2312"/>
          <w:spacing w:val="0"/>
          <w:kern w:val="2"/>
          <w:sz w:val="32"/>
          <w:szCs w:val="32"/>
          <w:lang w:val="en-US" w:eastAsia="zh-CN" w:bidi="ar-SA"/>
        </w:rPr>
        <w:t>实施科技强市行动，积极建设创新型城市。围绕新兴产业培育和传统产业升级，紧盯前沿引领技术、突出关键共性技术、强化现代工程技术，加快突破关键核心技术，持续实施“十百千”转型升级创新专项等重大科技攻关工程，推动在先进制造、新一代信息技术、生物医药和生命健康、新材料等领域突破一批关键核心技术，形成一批前瞻性引领性成果。建立市场导向的技术创新项目立项和组织方式，实行重大创新需求常年公开征集和定期发布制度，探索实施定向委托、择优委托等形式，健全科学分类、合理多元的科研绩效评价机制，提高科技攻关效率。</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spacing w:val="0"/>
          <w:kern w:val="2"/>
          <w:sz w:val="32"/>
          <w:szCs w:val="32"/>
          <w:lang w:val="en-US" w:eastAsia="zh-CN" w:bidi="ar-SA"/>
        </w:rPr>
      </w:pPr>
      <w:r>
        <w:rPr>
          <w:rFonts w:hint="eastAsia" w:ascii="仿宋_GB2312" w:hAnsi="仿宋_GB2312" w:eastAsia="仿宋_GB2312" w:cs="仿宋_GB2312"/>
          <w:spacing w:val="0"/>
          <w:kern w:val="2"/>
          <w:sz w:val="32"/>
          <w:szCs w:val="32"/>
          <w:lang w:val="en-US" w:eastAsia="zh-CN" w:bidi="ar-SA"/>
        </w:rPr>
        <w:t>推动经济开发区、高新技术开发区、装备产业集聚区、中国（驻马店）国际农产品加工产业园优势互补、融合发展，整合力量、统筹布局，积极申建国家高新技术开发区。加快建设技术创新中心、农业科研创新中心、产业技术创新战略联盟、国家实验室、院士工作站、中原学者工作站、博士后流动站、科技企业孵化器等。广泛开展创新资源共享、科技联合攻关、科技成果协同转化等合作，吸引国内外知名企业、高等院校、科研院所在我市设立研发机构。实施创新引领型产业集群专项，搭建重点产业领域共性关键技术创新转化平台，加强科技成果转化、科技金融、高端人才引进等政策创新。扎实推动区域性科技交流合作。鼓励高校、科研院所和企业通过联合研发、人员交流、资源共享、项目带动等方式开展全方位科技合作。积极推进与国内外著名高校和科研院所的工作联系，促进高校和科研院所的学科优势、人才优势与我市经济社会发展重大需求有效对接。拓展区域科技合作。加强国际创新合作交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baseline"/>
        <w:rPr>
          <w:rFonts w:hint="eastAsia" w:ascii="仿宋_GB2312" w:hAnsi="仿宋_GB2312" w:eastAsia="仿宋_GB2312" w:cs="仿宋_GB2312"/>
          <w:b w:val="0"/>
          <w:bCs/>
          <w:i w:val="0"/>
          <w:caps w:val="0"/>
          <w:color w:val="000000"/>
          <w:spacing w:val="0"/>
          <w:sz w:val="32"/>
          <w:szCs w:val="32"/>
        </w:rPr>
      </w:pPr>
      <w:r>
        <w:rPr>
          <w:rFonts w:hint="eastAsia" w:ascii="仿宋_GB2312" w:hAnsi="仿宋_GB2312" w:eastAsia="仿宋_GB2312" w:cs="仿宋_GB2312"/>
          <w:b w:val="0"/>
          <w:bCs/>
          <w:i w:val="0"/>
          <w:caps w:val="0"/>
          <w:color w:val="000000"/>
          <w:spacing w:val="0"/>
          <w:kern w:val="0"/>
          <w:sz w:val="32"/>
          <w:szCs w:val="32"/>
          <w:vertAlign w:val="baseline"/>
          <w:lang w:val="en-US" w:eastAsia="zh-CN" w:bidi="ar"/>
        </w:rPr>
        <w:t>第三节</w:t>
      </w:r>
      <w:r>
        <w:rPr>
          <w:rFonts w:hint="eastAsia" w:ascii="仿宋_GB2312" w:hAnsi="仿宋_GB2312" w:eastAsia="仿宋_GB2312" w:cs="仿宋_GB2312"/>
          <w:b w:val="0"/>
          <w:bCs/>
          <w:i w:val="0"/>
          <w:caps w:val="0"/>
          <w:color w:val="000000"/>
          <w:spacing w:val="0"/>
          <w:sz w:val="32"/>
          <w:szCs w:val="32"/>
          <w:shd w:val="clear" w:fill="FFFFFF"/>
          <w:vertAlign w:val="baseline"/>
        </w:rPr>
        <w:t>激发人才创新创业活力</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shd w:val="clear" w:fill="FFFFFF"/>
          <w:vertAlign w:val="baseline"/>
        </w:rPr>
        <w:t>坚持尊重劳动、尊重知识、尊重人才、尊重创造，全方位培养、引进、用好人才，打造人才集聚创新创业高地。深化“智汇驻马店”人才工程，完善产业领军人才和团队带项目、带技术、带成果来驻创新创业和转化成果的支持政策，引进培育一批产业领军人才和创新团队。深入推进全民技能振兴工程，加强创新型、应用型、技能型人才培养。实施知识更新工程、技能提升行动，壮大高技能人才队伍，推动产业工人队伍建设，打造“天中工匠”。实施乡村人才振兴计划，健全农民教育培训体系，深化科技特派员、千名专家帮千村活动，引导和支持各类人才返乡创业。强化创新平台载体作用，推动人才链与产业链、创新链、资金链、信息链深度融合。健全以创新能力、质量、实效、贡献为导向的科技人才评价体系。完善柔性引才机制和高层次国内外人才特殊支持政策，健全人才激励机制，继续实行“天中英才通”，建设人才服务站、人才社区，建好人才公寓、“双创”产业园，解决来驻人才子女就学、就医、就业等问题，解除人才留驻的后顾之忧，打造一流拴心留人的服务环境和人才生态环境，集聚各类优秀人才。按照“一事一议”原则支持引进国内外优质高等教育资源开展合作办学或设立学院，高标准谋划引进建设国内一流研究型、创新型大学分院。积极对接京津冀、长三角、粤港澳大湾区等创新优势区域，开展创新资源共享、创新生态共建和科技联合攻关，打造科技创新共同体。</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shd w:val="clear" w:fill="FFFFFF"/>
          <w:vertAlign w:val="baseline"/>
        </w:rPr>
        <w:t>广泛开展创业引领活动，高质量举办驻马店市创业创新大赛，评选表彰创业典型，持续营造“大众创业、万众创新”浓厚氛围，发挥创业带动就业倍增效应。培育全社会创新文化，完善大众科技传媒网络，大力宣传敢为人先的创新文化，建立崇尚创新、创业致富的价值导向。营造尊重科技、尊重人才、尊重创造的良好社会氛围，让各类科技创新活动得到支持，人才创造才能得到充分发挥，创造成果得到肯定。建立满足各类创新创业人才需要的培训体系，树立全程服务、全方位服务理念，降低创新创业成本和风险，提高创新创业成功率。积极发挥黄淮学院优势，与我市联合打造兼具教育、培训、医疗服务、交流协作、创业就业等多重功能的创新创业产业园。</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shd w:val="clear" w:fill="FFFFFF"/>
          <w:vertAlign w:val="baseline"/>
        </w:rPr>
      </w:pPr>
      <w:r>
        <w:rPr>
          <w:rFonts w:hint="eastAsia" w:ascii="仿宋_GB2312" w:hAnsi="仿宋_GB2312" w:eastAsia="仿宋_GB2312" w:cs="仿宋_GB2312"/>
          <w:b w:val="0"/>
          <w:i w:val="0"/>
          <w:caps w:val="0"/>
          <w:color w:val="000000"/>
          <w:spacing w:val="0"/>
          <w:sz w:val="32"/>
          <w:szCs w:val="32"/>
          <w:shd w:val="clear" w:fill="FFFFFF"/>
          <w:vertAlign w:val="baseline"/>
        </w:rPr>
        <w:t>优化创新创业环境，推进科技与金融、军用与民用、国家与地方、产业与院所“四个融合”，加快构建政产学研用金一体协同、大中小企业和各类主体融通发展的创新生态。支持中心城区“双创”基地和创新孵化园建设，持续推进综合性创业孵化平台建设，打造“双创”升级版，创建国家级“双创”基地。推进科研院所科研体制、科技成果产业化改革，建立适应不同类型科研活动特点的管理制度和运行机制。深化科技奖励制度改革，修订奖励办法，突出对重大科技贡献、优秀创新团队和科技人才的激励，实施重大科研成果和发明创造科技奖励制度，激发科技人才创新创业热情。</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baseline"/>
        <w:rPr>
          <w:rFonts w:hint="eastAsia" w:ascii="仿宋_GB2312" w:hAnsi="仿宋_GB2312" w:eastAsia="仿宋_GB2312" w:cs="仿宋_GB2312"/>
          <w:b w:val="0"/>
          <w:bCs/>
          <w:i w:val="0"/>
          <w:caps w:val="0"/>
          <w:color w:val="000000"/>
          <w:spacing w:val="0"/>
          <w:sz w:val="32"/>
          <w:szCs w:val="32"/>
        </w:rPr>
      </w:pPr>
      <w:r>
        <w:rPr>
          <w:rFonts w:hint="eastAsia" w:ascii="仿宋_GB2312" w:hAnsi="仿宋_GB2312" w:eastAsia="仿宋_GB2312" w:cs="仿宋_GB2312"/>
          <w:b w:val="0"/>
          <w:bCs/>
          <w:i w:val="0"/>
          <w:caps w:val="0"/>
          <w:color w:val="000000"/>
          <w:spacing w:val="0"/>
          <w:kern w:val="0"/>
          <w:sz w:val="32"/>
          <w:szCs w:val="32"/>
          <w:vertAlign w:val="baseline"/>
          <w:lang w:val="en-US" w:eastAsia="zh-CN" w:bidi="ar"/>
        </w:rPr>
        <w:t>第四节</w:t>
      </w:r>
      <w:r>
        <w:rPr>
          <w:rFonts w:hint="eastAsia" w:ascii="仿宋_GB2312" w:hAnsi="仿宋_GB2312" w:eastAsia="仿宋_GB2312" w:cs="仿宋_GB2312"/>
          <w:b w:val="0"/>
          <w:bCs/>
          <w:i w:val="0"/>
          <w:caps w:val="0"/>
          <w:color w:val="000000"/>
          <w:spacing w:val="0"/>
          <w:sz w:val="32"/>
          <w:szCs w:val="32"/>
          <w:shd w:val="clear" w:fill="FFFFFF"/>
          <w:vertAlign w:val="baseline"/>
        </w:rPr>
        <w:t>提升企业技术创新能力</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shd w:val="clear" w:fill="FFFFFF"/>
          <w:vertAlign w:val="baseline"/>
        </w:rPr>
      </w:pPr>
      <w:r>
        <w:rPr>
          <w:rFonts w:hint="eastAsia" w:ascii="仿宋_GB2312" w:hAnsi="仿宋_GB2312" w:eastAsia="仿宋_GB2312" w:cs="仿宋_GB2312"/>
          <w:b w:val="0"/>
          <w:i w:val="0"/>
          <w:caps w:val="0"/>
          <w:color w:val="000000"/>
          <w:spacing w:val="0"/>
          <w:sz w:val="32"/>
          <w:szCs w:val="32"/>
          <w:shd w:val="clear" w:fill="FFFFFF"/>
          <w:vertAlign w:val="baseline"/>
        </w:rPr>
        <w:t>实施创新型企业培育工程，完善“微成长、小升高、高变强”培育机制，培育一批“小巨人”企业，壮大“专精特新”企业群体规模，打造具有核心竞争力的创新型企业集群，形成“以创新龙头企业为引领、高新技术企业为支撑、科技型中小企业为基础”的企业集群。实施创新型企业树标引领计划，完善鼓励企业技术创新政策，促进各类创新要素向企业集聚，提升企业技术创新能力，重点培育30家科技“雏鹰”企业、30家“瞪羚”企业和10家创新龙头企业。做大做强科技型龙头企业，促进企业成为技术创新决策、研发投入、科研组织和成果转化主体，促进创新要素向企业集聚，不断提升企业的科技创新能力，新认定国家高新技术企业100家以上。支持企业牵头组建创新联合体，发挥产业龙头企业、科技领军企业引领支撑作用，鼓励企业加大研发投入，落实企业投入基础研究税收优惠政策，加强共性技术平台建设，推动产业链上中下游、大中小企业融通创新。发挥“产教融合发展战略国际论坛”名片效应，推进产学研用深度融合，打造科技、教育、产业、金融紧密融合的创新体系。加大对科技企业的上市引导和培育，使之成为引领科技创新的主力军。落实“科技小巨人”成长行动、科技中小企业“春笋”计划，加快培育成长性强的科技中小企业。以高端装备制造、新能源、新材料、现代农业等战略新兴产业领域为重点，建立动态管理机制，制定相应配套政策和措施，实行重点培育，建立针对科技型中小企业的支持机制，从研发投入、机构建设、成果转化、市场开拓、知识产权保护、创新人才支撑以及中介服务体系建设等方面，全方位给予扶持，新评价入库国家科技型中小企业500家以上。强化科技成果转化政策激励，建设科技成果中试和产业化载体。整合跨区域、跨行业的大数据、云信息，打造集科技成果展示、供需对接、技术交易、专家咨询与政策激励为一体，线上线下相结合的驻马店科技市场网上交易平台。建立统一开放的科研设施与仪器共享机制，打通与郑州、武汉等地的科研仪器设施共享通道。鼓励各类主体自主或联合创建技术市场、科技会展机构、技术转移中心、科技成果价值评估机构以及从事科技成果孵化、知识产权、科技咨询、科技金融、综合科技等科技成果转化服务机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shd w:val="clear" w:fill="FFFFFF"/>
          <w:vertAlign w:val="baseline"/>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shd w:val="clear" w:fill="FFFFFF"/>
          <w:vertAlign w:val="baseline"/>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shd w:val="clear" w:fill="FFFFFF"/>
          <w:vertAlign w:val="baseline"/>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shd w:val="clear" w:fill="FFFFFF"/>
          <w:vertAlign w:val="baseline"/>
        </w:rPr>
      </w:pPr>
    </w:p>
    <w:tbl>
      <w:tblPr>
        <w:tblStyle w:val="8"/>
        <w:tblpPr w:leftFromText="180" w:rightFromText="180" w:vertAnchor="text" w:horzAnchor="page" w:tblpX="1529" w:tblpY="28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8" w:type="dxa"/>
            <w:noWrap w:val="0"/>
            <w:vAlign w:val="top"/>
          </w:tcPr>
          <w:p>
            <w:pPr>
              <w:keepNext w:val="0"/>
              <w:keepLines w:val="0"/>
              <w:pageBreakBefore w:val="0"/>
              <w:kinsoku/>
              <w:wordWrap/>
              <w:overflowPunct/>
              <w:topLinePunct w:val="0"/>
              <w:autoSpaceDE/>
              <w:autoSpaceDN/>
              <w:bidi w:val="0"/>
              <w:adjustRightInd/>
              <w:snapToGrid/>
              <w:spacing w:afterAutospacing="0" w:line="580" w:lineRule="exact"/>
              <w:jc w:val="center"/>
              <w:rPr>
                <w:rFonts w:hint="eastAsia" w:ascii="仿宋_GB2312" w:hAnsi="仿宋_GB2312" w:eastAsia="仿宋_GB2312" w:cs="仿宋_GB2312"/>
                <w:spacing w:val="0"/>
                <w:sz w:val="32"/>
                <w:szCs w:val="32"/>
                <w:vertAlign w:val="baseline"/>
              </w:rPr>
            </w:pPr>
            <w:r>
              <w:rPr>
                <w:rFonts w:hint="eastAsia" w:ascii="仿宋_GB2312" w:hAnsi="仿宋_GB2312" w:eastAsia="仿宋_GB2312" w:cs="仿宋_GB2312"/>
                <w:b/>
                <w:bCs/>
                <w:i w:val="0"/>
                <w:caps w:val="0"/>
                <w:color w:val="333333"/>
                <w:spacing w:val="0"/>
                <w:sz w:val="32"/>
                <w:szCs w:val="32"/>
                <w:shd w:val="clear" w:fill="FFFFFF"/>
                <w:vertAlign w:val="baseline"/>
                <w:lang w:eastAsia="zh-CN"/>
              </w:rPr>
              <w:t>专栏四、</w:t>
            </w:r>
            <w:r>
              <w:rPr>
                <w:rFonts w:hint="eastAsia" w:ascii="仿宋_GB2312" w:hAnsi="仿宋_GB2312" w:eastAsia="仿宋_GB2312" w:cs="仿宋_GB2312"/>
                <w:b/>
                <w:bCs/>
                <w:i w:val="0"/>
                <w:caps w:val="0"/>
                <w:color w:val="333333"/>
                <w:spacing w:val="0"/>
                <w:sz w:val="32"/>
                <w:szCs w:val="32"/>
                <w:shd w:val="clear" w:fill="FFFFFF"/>
                <w:vertAlign w:val="baseline"/>
              </w:rPr>
              <w:t>创新型企业培育工程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5" w:hRule="atLeast"/>
        </w:trPr>
        <w:tc>
          <w:tcPr>
            <w:tcW w:w="8888" w:type="dxa"/>
            <w:noWrap w:val="0"/>
            <w:vAlign w:val="top"/>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both"/>
              <w:textAlignment w:val="baseline"/>
              <w:rPr>
                <w:rFonts w:hint="eastAsia" w:ascii="仿宋_GB2312" w:hAnsi="仿宋_GB2312" w:eastAsia="仿宋_GB2312" w:cs="仿宋_GB2312"/>
                <w:b w:val="0"/>
                <w:bCs w:val="0"/>
                <w:spacing w:val="0"/>
                <w:sz w:val="32"/>
                <w:szCs w:val="32"/>
              </w:rPr>
            </w:pPr>
            <w:r>
              <w:rPr>
                <w:rFonts w:hint="eastAsia" w:ascii="仿宋_GB2312" w:hAnsi="仿宋_GB2312" w:eastAsia="仿宋_GB2312" w:cs="仿宋_GB2312"/>
                <w:b w:val="0"/>
                <w:bCs w:val="0"/>
                <w:i w:val="0"/>
                <w:caps w:val="0"/>
                <w:color w:val="333333"/>
                <w:spacing w:val="0"/>
                <w:sz w:val="32"/>
                <w:szCs w:val="32"/>
                <w:shd w:val="clear" w:fill="FFFFFF"/>
                <w:vertAlign w:val="baseline"/>
                <w:lang w:val="en-US" w:eastAsia="zh-CN"/>
              </w:rPr>
              <w:t>1、</w:t>
            </w:r>
            <w:r>
              <w:rPr>
                <w:rFonts w:hint="eastAsia" w:ascii="仿宋_GB2312" w:hAnsi="仿宋_GB2312" w:eastAsia="仿宋_GB2312" w:cs="仿宋_GB2312"/>
                <w:b w:val="0"/>
                <w:bCs w:val="0"/>
                <w:i w:val="0"/>
                <w:caps w:val="0"/>
                <w:color w:val="333333"/>
                <w:spacing w:val="0"/>
                <w:sz w:val="32"/>
                <w:szCs w:val="32"/>
                <w:shd w:val="clear" w:fill="FFFFFF"/>
                <w:vertAlign w:val="baseline"/>
              </w:rPr>
              <w:t>重点培育30家科技“雏鹰”企业、30家“瞪羚”企业和10家创新龙头企业。新认定国家高新技术企业100家以上。新评价入库国家科技型中小企业500家以上。</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b w:val="0"/>
                <w:bCs w:val="0"/>
                <w:spacing w:val="0"/>
                <w:sz w:val="32"/>
                <w:szCs w:val="32"/>
              </w:rPr>
            </w:pPr>
            <w:r>
              <w:rPr>
                <w:rFonts w:hint="eastAsia" w:ascii="仿宋_GB2312" w:hAnsi="仿宋_GB2312" w:eastAsia="仿宋_GB2312" w:cs="仿宋_GB2312"/>
                <w:b w:val="0"/>
                <w:bCs w:val="0"/>
                <w:i w:val="0"/>
                <w:caps w:val="0"/>
                <w:color w:val="000000"/>
                <w:spacing w:val="0"/>
                <w:kern w:val="0"/>
                <w:sz w:val="32"/>
                <w:szCs w:val="32"/>
                <w:shd w:val="clear" w:fill="FFFFFF"/>
                <w:lang w:val="en-US" w:eastAsia="zh-CN" w:bidi="ar"/>
              </w:rPr>
              <w:t>2、围绕行业重大共性需求，强化产业共性关键技术供给，加快科技成果的转化和产业化。到2025年，力争培育1-2家省级制造业创新中心培育单位，建成1家省级制造业创新中心。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both"/>
              <w:textAlignment w:val="baseline"/>
              <w:rPr>
                <w:rFonts w:hint="eastAsia" w:ascii="仿宋_GB2312" w:hAnsi="仿宋_GB2312" w:eastAsia="仿宋_GB2312" w:cs="仿宋_GB2312"/>
                <w:b w:val="0"/>
                <w:bCs w:val="0"/>
                <w:spacing w:val="0"/>
                <w:sz w:val="32"/>
                <w:szCs w:val="32"/>
              </w:rPr>
            </w:pPr>
            <w:r>
              <w:rPr>
                <w:rFonts w:hint="eastAsia" w:ascii="仿宋_GB2312" w:hAnsi="仿宋_GB2312" w:eastAsia="仿宋_GB2312" w:cs="仿宋_GB2312"/>
                <w:b w:val="0"/>
                <w:bCs w:val="0"/>
                <w:i w:val="0"/>
                <w:caps w:val="0"/>
                <w:color w:val="333333"/>
                <w:spacing w:val="0"/>
                <w:sz w:val="32"/>
                <w:szCs w:val="32"/>
                <w:shd w:val="clear" w:fill="FFFFFF"/>
                <w:vertAlign w:val="baseline"/>
                <w:lang w:val="en-US" w:eastAsia="zh-CN"/>
              </w:rPr>
              <w:t>3、实施</w:t>
            </w:r>
            <w:r>
              <w:rPr>
                <w:rFonts w:hint="eastAsia" w:ascii="仿宋_GB2312" w:hAnsi="仿宋_GB2312" w:eastAsia="仿宋_GB2312" w:cs="仿宋_GB2312"/>
                <w:b w:val="0"/>
                <w:bCs w:val="0"/>
                <w:i w:val="0"/>
                <w:caps w:val="0"/>
                <w:color w:val="333333"/>
                <w:spacing w:val="0"/>
                <w:sz w:val="32"/>
                <w:szCs w:val="32"/>
                <w:shd w:val="clear" w:fill="FFFFFF"/>
                <w:vertAlign w:val="baseline"/>
              </w:rPr>
              <w:t>产业技术创新平台工程</w:t>
            </w:r>
            <w:r>
              <w:rPr>
                <w:rFonts w:hint="eastAsia" w:ascii="仿宋_GB2312" w:hAnsi="仿宋_GB2312" w:eastAsia="仿宋_GB2312" w:cs="仿宋_GB2312"/>
                <w:b w:val="0"/>
                <w:bCs w:val="0"/>
                <w:i w:val="0"/>
                <w:caps w:val="0"/>
                <w:color w:val="333333"/>
                <w:spacing w:val="0"/>
                <w:sz w:val="32"/>
                <w:szCs w:val="32"/>
                <w:shd w:val="clear" w:fill="FFFFFF"/>
                <w:vertAlign w:val="baseline"/>
                <w:lang w:eastAsia="zh-CN"/>
              </w:rPr>
              <w:t>，</w:t>
            </w:r>
            <w:r>
              <w:rPr>
                <w:rFonts w:hint="eastAsia" w:ascii="仿宋_GB2312" w:hAnsi="仿宋_GB2312" w:eastAsia="仿宋_GB2312" w:cs="仿宋_GB2312"/>
                <w:b w:val="0"/>
                <w:bCs w:val="0"/>
                <w:i w:val="0"/>
                <w:caps w:val="0"/>
                <w:color w:val="333333"/>
                <w:spacing w:val="0"/>
                <w:sz w:val="32"/>
                <w:szCs w:val="32"/>
                <w:shd w:val="clear" w:fill="FFFFFF"/>
                <w:vertAlign w:val="baseline"/>
              </w:rPr>
              <w:t>新增10家以上省级以上创新中心（技术创新中心、制造业创新中心等），新增60家省级以上工程研究中心（企业技术中心、临床医学中心等）。</w:t>
            </w:r>
          </w:p>
          <w:p>
            <w:pPr>
              <w:keepNext w:val="0"/>
              <w:keepLines w:val="0"/>
              <w:pageBreakBefore w:val="0"/>
              <w:kinsoku/>
              <w:wordWrap/>
              <w:overflowPunct/>
              <w:topLinePunct w:val="0"/>
              <w:autoSpaceDE/>
              <w:autoSpaceDN/>
              <w:bidi w:val="0"/>
              <w:adjustRightInd/>
              <w:snapToGrid/>
              <w:spacing w:afterAutospacing="0" w:line="580" w:lineRule="exact"/>
              <w:rPr>
                <w:rFonts w:hint="eastAsia" w:ascii="仿宋_GB2312" w:hAnsi="仿宋_GB2312" w:eastAsia="仿宋_GB2312" w:cs="仿宋_GB2312"/>
                <w:spacing w:val="0"/>
                <w:sz w:val="32"/>
                <w:szCs w:val="32"/>
                <w:vertAlign w:val="baseline"/>
              </w:rPr>
            </w:pPr>
            <w:r>
              <w:rPr>
                <w:rFonts w:hint="eastAsia" w:ascii="仿宋_GB2312" w:hAnsi="仿宋_GB2312" w:eastAsia="仿宋_GB2312" w:cs="仿宋_GB2312"/>
                <w:b w:val="0"/>
                <w:i w:val="0"/>
                <w:caps w:val="0"/>
                <w:color w:val="333333"/>
                <w:spacing w:val="0"/>
                <w:sz w:val="32"/>
                <w:szCs w:val="32"/>
                <w:shd w:val="clear" w:fill="FFFFFF"/>
                <w:vertAlign w:val="baseline"/>
                <w:lang w:val="en-US" w:eastAsia="zh-CN"/>
              </w:rPr>
              <w:t>4、实施</w:t>
            </w:r>
            <w:r>
              <w:rPr>
                <w:rFonts w:hint="eastAsia" w:ascii="仿宋_GB2312" w:hAnsi="仿宋_GB2312" w:eastAsia="仿宋_GB2312" w:cs="仿宋_GB2312"/>
                <w:b w:val="0"/>
                <w:i w:val="0"/>
                <w:caps w:val="0"/>
                <w:color w:val="333333"/>
                <w:spacing w:val="0"/>
                <w:sz w:val="32"/>
                <w:szCs w:val="32"/>
                <w:shd w:val="clear" w:fill="FFFFFF"/>
                <w:vertAlign w:val="baseline"/>
              </w:rPr>
              <w:t>公共服务创新平台工程</w:t>
            </w:r>
            <w:r>
              <w:rPr>
                <w:rFonts w:hint="eastAsia" w:ascii="仿宋_GB2312" w:hAnsi="仿宋_GB2312" w:eastAsia="仿宋_GB2312" w:cs="仿宋_GB2312"/>
                <w:b w:val="0"/>
                <w:i w:val="0"/>
                <w:caps w:val="0"/>
                <w:color w:val="333333"/>
                <w:spacing w:val="0"/>
                <w:sz w:val="32"/>
                <w:szCs w:val="32"/>
                <w:shd w:val="clear" w:fill="FFFFFF"/>
                <w:vertAlign w:val="baseline"/>
                <w:lang w:eastAsia="zh-CN"/>
              </w:rPr>
              <w:t>，</w:t>
            </w:r>
            <w:r>
              <w:rPr>
                <w:rFonts w:hint="eastAsia" w:ascii="仿宋_GB2312" w:hAnsi="仿宋_GB2312" w:eastAsia="仿宋_GB2312" w:cs="仿宋_GB2312"/>
                <w:b w:val="0"/>
                <w:i w:val="0"/>
                <w:caps w:val="0"/>
                <w:color w:val="333333"/>
                <w:spacing w:val="0"/>
                <w:sz w:val="32"/>
                <w:szCs w:val="32"/>
                <w:shd w:val="clear" w:fill="FFFFFF"/>
                <w:vertAlign w:val="baseline"/>
              </w:rPr>
              <w:t>争创国家级双创示范基地和一批省级众创空间、大学科技园、科技型企业孵化器。</w:t>
            </w:r>
          </w:p>
        </w:tc>
      </w:tr>
    </w:tbl>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shd w:val="clear" w:fill="FFFFFF"/>
          <w:vertAlign w:val="baseline"/>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baseline"/>
        <w:rPr>
          <w:rFonts w:hint="eastAsia" w:ascii="仿宋_GB2312" w:hAnsi="仿宋_GB2312" w:eastAsia="仿宋_GB2312" w:cs="仿宋_GB2312"/>
          <w:b w:val="0"/>
          <w:i w:val="0"/>
          <w:caps w:val="0"/>
          <w:color w:val="000000"/>
          <w:spacing w:val="0"/>
          <w:sz w:val="32"/>
          <w:szCs w:val="32"/>
          <w:lang w:eastAsia="zh-CN"/>
        </w:rPr>
      </w:pPr>
      <w:r>
        <w:rPr>
          <w:rFonts w:hint="eastAsia" w:ascii="仿宋_GB2312" w:hAnsi="仿宋_GB2312" w:eastAsia="仿宋_GB2312" w:cs="仿宋_GB2312"/>
          <w:b/>
          <w:i w:val="0"/>
          <w:caps w:val="0"/>
          <w:color w:val="000000"/>
          <w:spacing w:val="0"/>
          <w:sz w:val="32"/>
          <w:szCs w:val="32"/>
          <w:shd w:val="clear" w:fill="FFFFFF"/>
          <w:vertAlign w:val="baseline"/>
          <w:lang w:eastAsia="zh-CN"/>
        </w:rPr>
        <w:t>第八章</w:t>
      </w:r>
      <w:r>
        <w:rPr>
          <w:rFonts w:hint="eastAsia" w:ascii="仿宋_GB2312" w:hAnsi="仿宋_GB2312" w:eastAsia="仿宋_GB2312" w:cs="仿宋_GB2312"/>
          <w:b/>
          <w:i w:val="0"/>
          <w:caps w:val="0"/>
          <w:color w:val="000000"/>
          <w:spacing w:val="0"/>
          <w:sz w:val="32"/>
          <w:szCs w:val="32"/>
          <w:shd w:val="clear" w:fill="FFFFFF"/>
          <w:vertAlign w:val="baseline"/>
          <w:lang w:val="en-US" w:eastAsia="zh-CN"/>
        </w:rPr>
        <w:t xml:space="preserve"> </w:t>
      </w:r>
      <w:r>
        <w:rPr>
          <w:rFonts w:hint="eastAsia" w:ascii="仿宋_GB2312" w:hAnsi="仿宋_GB2312" w:eastAsia="仿宋_GB2312" w:cs="仿宋_GB2312"/>
          <w:b/>
          <w:i w:val="0"/>
          <w:caps w:val="0"/>
          <w:color w:val="000000"/>
          <w:spacing w:val="0"/>
          <w:sz w:val="32"/>
          <w:szCs w:val="32"/>
          <w:shd w:val="clear" w:fill="FFFFFF"/>
          <w:vertAlign w:val="baseline"/>
        </w:rPr>
        <w:t>加快</w:t>
      </w:r>
      <w:r>
        <w:rPr>
          <w:rFonts w:hint="eastAsia" w:ascii="仿宋_GB2312" w:hAnsi="仿宋_GB2312" w:eastAsia="仿宋_GB2312" w:cs="仿宋_GB2312"/>
          <w:b/>
          <w:i w:val="0"/>
          <w:caps w:val="0"/>
          <w:color w:val="000000"/>
          <w:spacing w:val="0"/>
          <w:sz w:val="32"/>
          <w:szCs w:val="32"/>
          <w:shd w:val="clear" w:fill="FFFFFF"/>
          <w:vertAlign w:val="baseline"/>
          <w:lang w:eastAsia="zh-CN"/>
        </w:rPr>
        <w:t>建设</w:t>
      </w:r>
      <w:r>
        <w:rPr>
          <w:rFonts w:hint="eastAsia" w:ascii="仿宋_GB2312" w:hAnsi="仿宋_GB2312" w:eastAsia="仿宋_GB2312" w:cs="仿宋_GB2312"/>
          <w:b/>
          <w:i w:val="0"/>
          <w:caps w:val="0"/>
          <w:color w:val="000000"/>
          <w:spacing w:val="0"/>
          <w:sz w:val="32"/>
          <w:szCs w:val="32"/>
          <w:shd w:val="clear" w:fill="FFFFFF"/>
          <w:vertAlign w:val="baseline"/>
        </w:rPr>
        <w:t>现代服务业</w:t>
      </w:r>
      <w:r>
        <w:rPr>
          <w:rFonts w:hint="eastAsia" w:ascii="仿宋_GB2312" w:hAnsi="仿宋_GB2312" w:eastAsia="仿宋_GB2312" w:cs="仿宋_GB2312"/>
          <w:b/>
          <w:i w:val="0"/>
          <w:caps w:val="0"/>
          <w:color w:val="000000"/>
          <w:spacing w:val="0"/>
          <w:sz w:val="32"/>
          <w:szCs w:val="32"/>
          <w:shd w:val="clear" w:fill="FFFFFF"/>
          <w:vertAlign w:val="baseline"/>
          <w:lang w:eastAsia="zh-CN"/>
        </w:rPr>
        <w:t>，着力培育壮大市场主体</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shd w:val="clear" w:fill="FFFFFF"/>
          <w:vertAlign w:val="baseline"/>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shd w:val="clear" w:fill="FFFFFF"/>
          <w:vertAlign w:val="baseline"/>
        </w:rPr>
        <w:t>加快生产服务业向专业化和价值链高端延伸，推动生活性服务业向高品质和多样化升级，推进业态模式创新和品质提升，加快生产性服务业和生活性服务融合发展，推动服务走向高标准、高品质、高质量、高端化发展，建设现代服务业强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baseline"/>
        <w:rPr>
          <w:rFonts w:hint="eastAsia" w:ascii="仿宋_GB2312" w:hAnsi="仿宋_GB2312" w:eastAsia="仿宋_GB2312" w:cs="仿宋_GB2312"/>
          <w:b w:val="0"/>
          <w:bCs/>
          <w:i w:val="0"/>
          <w:caps w:val="0"/>
          <w:color w:val="000000"/>
          <w:spacing w:val="0"/>
          <w:sz w:val="32"/>
          <w:szCs w:val="32"/>
        </w:rPr>
      </w:pPr>
      <w:r>
        <w:rPr>
          <w:rFonts w:hint="eastAsia" w:ascii="仿宋_GB2312" w:hAnsi="仿宋_GB2312" w:eastAsia="仿宋_GB2312" w:cs="仿宋_GB2312"/>
          <w:b w:val="0"/>
          <w:bCs/>
          <w:i w:val="0"/>
          <w:caps w:val="0"/>
          <w:color w:val="000000"/>
          <w:spacing w:val="0"/>
          <w:sz w:val="32"/>
          <w:szCs w:val="32"/>
          <w:shd w:val="clear" w:fill="FFFFFF"/>
          <w:vertAlign w:val="baseline"/>
        </w:rPr>
        <w:t>第一节高质量创新发展生产性服务业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bCs/>
          <w:i w:val="0"/>
          <w:caps w:val="0"/>
          <w:color w:val="000000"/>
          <w:spacing w:val="0"/>
          <w:sz w:val="32"/>
          <w:szCs w:val="32"/>
          <w:shd w:val="clear" w:fill="FFFFFF"/>
          <w:vertAlign w:val="baseline"/>
          <w:lang w:eastAsia="zh-CN"/>
        </w:rPr>
        <w:t>（一）</w:t>
      </w:r>
      <w:r>
        <w:rPr>
          <w:rFonts w:hint="eastAsia" w:ascii="仿宋_GB2312" w:hAnsi="仿宋_GB2312" w:eastAsia="仿宋_GB2312" w:cs="仿宋_GB2312"/>
          <w:b/>
          <w:bCs/>
          <w:i w:val="0"/>
          <w:caps w:val="0"/>
          <w:color w:val="000000"/>
          <w:spacing w:val="0"/>
          <w:sz w:val="32"/>
          <w:szCs w:val="32"/>
          <w:shd w:val="clear" w:fill="FFFFFF"/>
          <w:vertAlign w:val="baseline"/>
        </w:rPr>
        <w:t>全面推进现代物流业发展。</w:t>
      </w:r>
      <w:r>
        <w:rPr>
          <w:rFonts w:hint="eastAsia" w:ascii="仿宋_GB2312" w:hAnsi="仿宋_GB2312" w:eastAsia="仿宋_GB2312" w:cs="仿宋_GB2312"/>
          <w:b w:val="0"/>
          <w:i w:val="0"/>
          <w:caps w:val="0"/>
          <w:color w:val="000000"/>
          <w:spacing w:val="0"/>
          <w:sz w:val="32"/>
          <w:szCs w:val="32"/>
          <w:shd w:val="clear" w:fill="FFFFFF"/>
          <w:vertAlign w:val="baseline"/>
        </w:rPr>
        <w:t>完善“通道+枢纽+网络”的现代物流运行体系，提升冷链、电商等特色物流发展水平，建成马庄铁路物流园，新建3-5个大型冷链物流加工拨配基地；加快电商物流发展，培育建设3-5个有影响力的电商综合物流平台、15个大型电商物流产业园，全市电子商务交易额达到1000亿元以上。健全城乡冷链物流网，构建肉类冷链体系、速冻食品冷链体系、果蔬及特色农产品冷链体系、乳制品冷链体系、医药冷链体系等重点产业全链体系，推进冷链物流园区、城市低温配送中心、冷链共同配送、产地冷库建设、农产品配送直销平台、冷链物流信息平台、冷链质量追溯和安全监管等7大工程建设，打造“全链条、网络化、严标准、可追溯、新模式、高效率”现代冷链物流体系。构建四级快递物流体系，建设“市有园区、县有中心、镇有门店、村有站点”的四级快递物流体系，推进全国“快递进村”试点城市建设。推进电商物流园区建设，创新消费品商贸流通模式，鼓励发展消费品电商自营物流，提升社区电商物流服务功能。完善农村电商配送及综合服务体系，发展大宗商品电商物流。立足“国际农都·智造之城”的产业发展定位，依托国际农产品加工产业园、驻马店海关、保税物流中心，畅通流通网络“大动脉”，打通城乡流通“微循环”，积极构建“一带一路”农产品加工商贸物流枢纽，打造全国重要的特色农产品冷链物流基地，争创国家物流枢纽承载城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bCs/>
          <w:i w:val="0"/>
          <w:caps w:val="0"/>
          <w:color w:val="000000"/>
          <w:spacing w:val="0"/>
          <w:sz w:val="32"/>
          <w:szCs w:val="32"/>
          <w:shd w:val="clear" w:fill="FFFFFF"/>
          <w:vertAlign w:val="baseline"/>
          <w:lang w:eastAsia="zh-CN"/>
        </w:rPr>
        <w:t>（二）</w:t>
      </w:r>
      <w:r>
        <w:rPr>
          <w:rFonts w:hint="eastAsia" w:ascii="仿宋_GB2312" w:hAnsi="仿宋_GB2312" w:eastAsia="仿宋_GB2312" w:cs="仿宋_GB2312"/>
          <w:b/>
          <w:bCs/>
          <w:i w:val="0"/>
          <w:caps w:val="0"/>
          <w:color w:val="000000"/>
          <w:spacing w:val="0"/>
          <w:sz w:val="32"/>
          <w:szCs w:val="32"/>
          <w:shd w:val="clear" w:fill="FFFFFF"/>
          <w:vertAlign w:val="baseline"/>
        </w:rPr>
        <w:t>健全高质商务服务业。</w:t>
      </w:r>
      <w:r>
        <w:rPr>
          <w:rFonts w:hint="eastAsia" w:ascii="仿宋_GB2312" w:hAnsi="仿宋_GB2312" w:eastAsia="仿宋_GB2312" w:cs="仿宋_GB2312"/>
          <w:b w:val="0"/>
          <w:i w:val="0"/>
          <w:caps w:val="0"/>
          <w:color w:val="000000"/>
          <w:spacing w:val="0"/>
          <w:sz w:val="32"/>
          <w:szCs w:val="32"/>
          <w:shd w:val="clear" w:fill="FFFFFF"/>
          <w:vertAlign w:val="baseline"/>
        </w:rPr>
        <w:t>依托高铁片区，积极发展商务服务业，鼓励发展各类商务主体，引进银行总部、咨询、贸易等企业，规范发展律师、公证、法律援助、司法鉴定、经济仲裁等法律服务业，培育发展科技信息、中介服务、项目策划、项目融资、财务顾问、并购重组、上市等投资与资产管理服务业，扶持发展会计、审计、税务、资产评估等经济鉴证类服务业，鼓励发展市场调查、资信服务、健康咨询和广告宣传等服务业，构建种类齐全、分布合理、功能健全、运作规范的现代商务服务体系，促进驻马店市商务经济发展。依托驻马店海关、保税物流中心，加快实施驻马店对外开放战略，为驻马店企业提供便捷的家门口的进出口货物报关、减免税、加工贸易等通关服务，使诸多“驻马店制造”便捷走出国门，步入高速通关时代。</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bCs/>
          <w:i w:val="0"/>
          <w:caps w:val="0"/>
          <w:color w:val="000000"/>
          <w:spacing w:val="0"/>
          <w:sz w:val="32"/>
          <w:szCs w:val="32"/>
          <w:shd w:val="clear" w:fill="FFFFFF"/>
          <w:vertAlign w:val="baseline"/>
          <w:lang w:eastAsia="zh-CN"/>
        </w:rPr>
        <w:t>（三）</w:t>
      </w:r>
      <w:r>
        <w:rPr>
          <w:rFonts w:hint="eastAsia" w:ascii="仿宋_GB2312" w:hAnsi="仿宋_GB2312" w:eastAsia="仿宋_GB2312" w:cs="仿宋_GB2312"/>
          <w:b/>
          <w:bCs/>
          <w:i w:val="0"/>
          <w:caps w:val="0"/>
          <w:color w:val="000000"/>
          <w:spacing w:val="0"/>
          <w:sz w:val="32"/>
          <w:szCs w:val="32"/>
          <w:shd w:val="clear" w:fill="FFFFFF"/>
          <w:vertAlign w:val="baseline"/>
        </w:rPr>
        <w:t>推动现代金融业发展。</w:t>
      </w:r>
      <w:r>
        <w:rPr>
          <w:rFonts w:hint="eastAsia" w:ascii="仿宋_GB2312" w:hAnsi="仿宋_GB2312" w:eastAsia="仿宋_GB2312" w:cs="仿宋_GB2312"/>
          <w:b w:val="0"/>
          <w:i w:val="0"/>
          <w:caps w:val="0"/>
          <w:color w:val="000000"/>
          <w:spacing w:val="0"/>
          <w:sz w:val="32"/>
          <w:szCs w:val="32"/>
          <w:shd w:val="clear" w:fill="FFFFFF"/>
          <w:vertAlign w:val="baseline"/>
        </w:rPr>
        <w:t>进一步优化金融生态环境，增强金融实力，丰富金融业态，培育壮大保险、融资租赁、资产管理等多元化金融主体，大力推动优质企业上市融资，提高金融服务实体经济能力。优化提升驻马店市金融服务平台功能，持续扩大无抵押无担保信用贷款规模。争取到2025年，全市新增3-5家上市、挂牌企业，引进2-3家全国性股份制商业银行，全市人民币存贷款余额分别超过5000亿元和3000亿元。深化金融改革与创新，加快构建机构集聚、业态丰富、结构合理、功能完善、运行稳健的现代金融市场。将金融供给侧改革和减少资金外流作为金融业发展重点，推动金融业与经济社会发展相适应。进一步拓宽融资渠道，壮大市县投融资平台，规划建设市金融业集聚区。加快征信体系建设，不断提高金融运行质量，积极防范各类金融风险，实现全市金融服务环境不断优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bCs/>
          <w:i w:val="0"/>
          <w:caps w:val="0"/>
          <w:color w:val="000000"/>
          <w:spacing w:val="0"/>
          <w:sz w:val="32"/>
          <w:szCs w:val="32"/>
          <w:shd w:val="clear" w:fill="FFFFFF"/>
          <w:vertAlign w:val="baseline"/>
          <w:lang w:eastAsia="zh-CN"/>
        </w:rPr>
        <w:t>（四）</w:t>
      </w:r>
      <w:r>
        <w:rPr>
          <w:rFonts w:hint="eastAsia" w:ascii="仿宋_GB2312" w:hAnsi="仿宋_GB2312" w:eastAsia="仿宋_GB2312" w:cs="仿宋_GB2312"/>
          <w:b/>
          <w:bCs/>
          <w:i w:val="0"/>
          <w:caps w:val="0"/>
          <w:color w:val="000000"/>
          <w:spacing w:val="0"/>
          <w:sz w:val="32"/>
          <w:szCs w:val="32"/>
          <w:shd w:val="clear" w:fill="FFFFFF"/>
          <w:vertAlign w:val="baseline"/>
        </w:rPr>
        <w:t>推动信息技术服务业发展。</w:t>
      </w:r>
      <w:r>
        <w:rPr>
          <w:rFonts w:hint="eastAsia" w:ascii="仿宋_GB2312" w:hAnsi="仿宋_GB2312" w:eastAsia="仿宋_GB2312" w:cs="仿宋_GB2312"/>
          <w:b w:val="0"/>
          <w:i w:val="0"/>
          <w:caps w:val="0"/>
          <w:color w:val="000000"/>
          <w:spacing w:val="0"/>
          <w:sz w:val="32"/>
          <w:szCs w:val="32"/>
          <w:shd w:val="clear" w:fill="FFFFFF"/>
          <w:vertAlign w:val="baseline"/>
        </w:rPr>
        <w:t>积极运用云计算、物联网等信息技术，推动制造业的智能化、柔性化和服务化，促进定制生产等模式创新发展。提高信息技术咨询设计、集成实施、运行维护和信息安全服务水平，面向工业行业应用提供系统解决方案，促进工业生产业务流程再造和优化。推动工业企业与软件提供商、信息服务提供商联合提升企业生产经营管理全过程的数字化水平。</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baseline"/>
        <w:rPr>
          <w:rFonts w:hint="eastAsia" w:ascii="仿宋_GB2312" w:hAnsi="仿宋_GB2312" w:eastAsia="仿宋_GB2312" w:cs="仿宋_GB2312"/>
          <w:b w:val="0"/>
          <w:bCs/>
          <w:i w:val="0"/>
          <w:caps w:val="0"/>
          <w:color w:val="000000"/>
          <w:spacing w:val="0"/>
          <w:sz w:val="32"/>
          <w:szCs w:val="32"/>
        </w:rPr>
      </w:pPr>
      <w:r>
        <w:rPr>
          <w:rFonts w:hint="eastAsia" w:ascii="仿宋_GB2312" w:hAnsi="仿宋_GB2312" w:eastAsia="仿宋_GB2312" w:cs="仿宋_GB2312"/>
          <w:b w:val="0"/>
          <w:bCs/>
          <w:i w:val="0"/>
          <w:caps w:val="0"/>
          <w:color w:val="000000"/>
          <w:spacing w:val="0"/>
          <w:sz w:val="32"/>
          <w:szCs w:val="32"/>
          <w:shd w:val="clear" w:fill="FFFFFF"/>
          <w:vertAlign w:val="baseline"/>
        </w:rPr>
        <w:t>第二节全面多样化发展生活性服务业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bCs/>
          <w:i w:val="0"/>
          <w:caps w:val="0"/>
          <w:color w:val="000000"/>
          <w:spacing w:val="0"/>
          <w:sz w:val="32"/>
          <w:szCs w:val="32"/>
          <w:shd w:val="clear" w:fill="FFFFFF"/>
          <w:vertAlign w:val="baseline"/>
          <w:lang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bCs/>
          <w:i w:val="0"/>
          <w:caps w:val="0"/>
          <w:color w:val="000000"/>
          <w:spacing w:val="0"/>
          <w:sz w:val="32"/>
          <w:szCs w:val="32"/>
          <w:shd w:val="clear" w:fill="FFFFFF"/>
          <w:vertAlign w:val="baseline"/>
          <w:lang w:eastAsia="zh-CN"/>
        </w:rPr>
        <w:t>（一）</w:t>
      </w:r>
      <w:r>
        <w:rPr>
          <w:rFonts w:hint="eastAsia" w:ascii="仿宋_GB2312" w:hAnsi="仿宋_GB2312" w:eastAsia="仿宋_GB2312" w:cs="仿宋_GB2312"/>
          <w:b/>
          <w:bCs/>
          <w:i w:val="0"/>
          <w:caps w:val="0"/>
          <w:color w:val="000000"/>
          <w:spacing w:val="0"/>
          <w:sz w:val="32"/>
          <w:szCs w:val="32"/>
          <w:shd w:val="clear" w:fill="FFFFFF"/>
          <w:vertAlign w:val="baseline"/>
        </w:rPr>
        <w:t>“名片式”发展现代文化旅游业</w:t>
      </w:r>
      <w:r>
        <w:rPr>
          <w:rFonts w:hint="eastAsia" w:ascii="仿宋_GB2312" w:hAnsi="仿宋_GB2312" w:eastAsia="仿宋_GB2312" w:cs="仿宋_GB2312"/>
          <w:b w:val="0"/>
          <w:i w:val="0"/>
          <w:caps w:val="0"/>
          <w:color w:val="000000"/>
          <w:spacing w:val="0"/>
          <w:sz w:val="32"/>
          <w:szCs w:val="32"/>
          <w:shd w:val="clear" w:fill="FFFFFF"/>
          <w:vertAlign w:val="baseline"/>
        </w:rPr>
        <w:t>。积极挖掘天中文化、红色文化、盘古文化、嫘祖文化、驿站文化、车舆文化、冶铁铸剑文化和梁祝文化、重阳文化、西游文化等特点，结合旅游业发展，打造精品文化路线。将“吃住行游购娱”传统旅游六要素和“商养学闲情奇”新六要素充分结合，积极推进全域旅游、智慧旅游，全力做强“六山四湖”、做精“两馆一站”、增厚“两城一寺”，做优西部山区、宿鸭湖等自然生态资源和竹沟革命纪念馆、鄂豫边省委革命纪念馆等红色旅游景区，做大“四带三区”乡村旅游，构建大旅游、全域旅游发展格局。加强乡村旅游规划引导，加大奖补力度，推动乡村旅游规范化加快发展。加速布局5G+VR旅游，将5G和VR赋能文旅产业，创新旅游模式，积极推出云旅游，培育建设全域云旅游平台，支持有条件的县区创建“全省旅游消费示范区”。到2025年，全市国家A级旅游景区达到40家以上，力争实现主要文化产业增加值比2020年翻两番，旅游产业增加值占GDP比重达到14%，旅游总收入超过650亿人民币，年接待游客量突破8000万人次，形成8-10个具有较强实力的龙头文化产业和企业集团，把我市打造成为文化影响力明显提升、旅游吸引力显著增强、文化旅游供给力较为丰富、文旅产业深度融合的国家全域旅游示范区、国家文旅融合发展先行示范区和国内知名的旅游目的地，建设文化旅游强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bCs/>
          <w:i w:val="0"/>
          <w:caps w:val="0"/>
          <w:color w:val="000000"/>
          <w:spacing w:val="0"/>
          <w:sz w:val="32"/>
          <w:szCs w:val="32"/>
          <w:shd w:val="clear" w:fill="FFFFFF"/>
          <w:vertAlign w:val="baseline"/>
          <w:lang w:eastAsia="zh-CN"/>
        </w:rPr>
        <w:t>（二）</w:t>
      </w:r>
      <w:r>
        <w:rPr>
          <w:rFonts w:hint="eastAsia" w:ascii="仿宋_GB2312" w:hAnsi="仿宋_GB2312" w:eastAsia="仿宋_GB2312" w:cs="仿宋_GB2312"/>
          <w:b/>
          <w:bCs/>
          <w:i w:val="0"/>
          <w:caps w:val="0"/>
          <w:color w:val="000000"/>
          <w:spacing w:val="0"/>
          <w:sz w:val="32"/>
          <w:szCs w:val="32"/>
          <w:shd w:val="clear" w:fill="FFFFFF"/>
          <w:vertAlign w:val="baseline"/>
        </w:rPr>
        <w:t>多元发展特色餐饮业。</w:t>
      </w:r>
      <w:r>
        <w:rPr>
          <w:rFonts w:hint="eastAsia" w:ascii="仿宋_GB2312" w:hAnsi="仿宋_GB2312" w:eastAsia="仿宋_GB2312" w:cs="仿宋_GB2312"/>
          <w:b w:val="0"/>
          <w:i w:val="0"/>
          <w:caps w:val="0"/>
          <w:color w:val="000000"/>
          <w:spacing w:val="0"/>
          <w:sz w:val="32"/>
          <w:szCs w:val="32"/>
          <w:shd w:val="clear" w:fill="FFFFFF"/>
          <w:vertAlign w:val="baseline"/>
        </w:rPr>
        <w:t>围绕国际农产品加工产业园、驻马店食品制造产业集群以及全域旅游的发展目标，积极发展特色餐饮业，大力发展汝南等各县特色小吃，扩大宣传力度，打造“天中美食”品牌，在中心城区打造“世界美食城”，扩大“天中美食”在国内外影响力。</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bCs/>
          <w:i w:val="0"/>
          <w:caps w:val="0"/>
          <w:color w:val="000000"/>
          <w:spacing w:val="0"/>
          <w:sz w:val="32"/>
          <w:szCs w:val="32"/>
          <w:shd w:val="clear" w:fill="FFFFFF"/>
          <w:vertAlign w:val="baseline"/>
          <w:lang w:eastAsia="zh-CN"/>
        </w:rPr>
        <w:t>（三）</w:t>
      </w:r>
      <w:r>
        <w:rPr>
          <w:rFonts w:hint="eastAsia" w:ascii="仿宋_GB2312" w:hAnsi="仿宋_GB2312" w:eastAsia="仿宋_GB2312" w:cs="仿宋_GB2312"/>
          <w:b/>
          <w:bCs/>
          <w:i w:val="0"/>
          <w:caps w:val="0"/>
          <w:color w:val="000000"/>
          <w:spacing w:val="0"/>
          <w:sz w:val="32"/>
          <w:szCs w:val="32"/>
          <w:shd w:val="clear" w:fill="FFFFFF"/>
          <w:vertAlign w:val="baseline"/>
        </w:rPr>
        <w:t>大力发展家政服务业。</w:t>
      </w:r>
      <w:r>
        <w:rPr>
          <w:rFonts w:hint="eastAsia" w:ascii="仿宋_GB2312" w:hAnsi="仿宋_GB2312" w:eastAsia="仿宋_GB2312" w:cs="仿宋_GB2312"/>
          <w:b w:val="0"/>
          <w:i w:val="0"/>
          <w:caps w:val="0"/>
          <w:color w:val="000000"/>
          <w:spacing w:val="0"/>
          <w:sz w:val="32"/>
          <w:szCs w:val="32"/>
          <w:shd w:val="clear" w:fill="FFFFFF"/>
          <w:vertAlign w:val="baseline"/>
        </w:rPr>
        <w:t>发挥我市人口资源红利优势，加强基础服务型人才市场供给，为更多市民提供家门口的就业机会，化解家政服务有效供给不足、行业发展不规范、群众满意度不高等问题，积极发展家政、病患陪护、家庭用品配送、家庭教育等家庭服务业，支持大型家庭服务企业在社区设立连锁便民服务网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baseline"/>
        <w:rPr>
          <w:rFonts w:hint="eastAsia" w:ascii="仿宋_GB2312" w:hAnsi="仿宋_GB2312" w:eastAsia="仿宋_GB2312" w:cs="仿宋_GB2312"/>
          <w:b w:val="0"/>
          <w:bCs/>
          <w:i w:val="0"/>
          <w:caps w:val="0"/>
          <w:color w:val="000000"/>
          <w:spacing w:val="0"/>
          <w:sz w:val="32"/>
          <w:szCs w:val="32"/>
        </w:rPr>
      </w:pPr>
      <w:r>
        <w:rPr>
          <w:rFonts w:hint="eastAsia" w:ascii="仿宋_GB2312" w:hAnsi="仿宋_GB2312" w:eastAsia="仿宋_GB2312" w:cs="仿宋_GB2312"/>
          <w:b w:val="0"/>
          <w:bCs/>
          <w:i w:val="0"/>
          <w:caps w:val="0"/>
          <w:color w:val="000000"/>
          <w:spacing w:val="0"/>
          <w:sz w:val="32"/>
          <w:szCs w:val="32"/>
          <w:shd w:val="clear" w:fill="FFFFFF"/>
          <w:vertAlign w:val="baseline"/>
        </w:rPr>
        <w:t>第三节均等布局公共服务业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shd w:val="clear" w:fill="FFFFFF"/>
          <w:vertAlign w:val="baseline"/>
        </w:rPr>
      </w:pPr>
      <w:r>
        <w:rPr>
          <w:rFonts w:hint="eastAsia" w:ascii="仿宋_GB2312" w:hAnsi="仿宋_GB2312" w:eastAsia="仿宋_GB2312" w:cs="仿宋_GB2312"/>
          <w:b w:val="0"/>
          <w:i w:val="0"/>
          <w:caps w:val="0"/>
          <w:color w:val="000000"/>
          <w:spacing w:val="0"/>
          <w:sz w:val="32"/>
          <w:szCs w:val="32"/>
          <w:shd w:val="clear" w:fill="FFFFFF"/>
          <w:vertAlign w:val="baseline"/>
        </w:rPr>
        <w:t>加强数字社会、数字政府建设，提升公共服务、社会治理等数字化智能化水平。加强数据资源统一管理，推动数据资源开发利用，全面实现政府服务“一网通办”、社会治理“一网通管”、政务数据“一网通享”。扩大基础公共信息数据有序开放，完善全市统一数据共享开放平台。健全安全保障体系，提升网络安全防护能力，加强个人信息保护。提升全民数字技能，实现信息服务全覆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shd w:val="clear" w:fill="FFFFFF"/>
          <w:vertAlign w:val="baseline"/>
        </w:rPr>
        <w:t>加快发展公共服务业，完善城市设施，充实服务功能，提升服务能力，构建完备的教育、文化娱乐、卫生医疗、体育、邮政快递、公共交通、社会保障等公共服务体系，形成以政府引导、市场化运作、专业化服务为方向的设施完备、运作高效的公共服务领域。兼顾老城区和新城区发展，注重新区的公共服务配套，建立与居民生产生活相适宜的配套服务体系，构建与驻马店发展相匹配的发达、优质、公平、绿色、低碳的公共服务业体系，提供多层次、多样化的公共服务产品，充分应用现代化信息及软件技术，搭建智慧社会管理、智慧教育文化服务、智能健康保障等电子化公共服务平台。</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0"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center"/>
              <w:rPr>
                <w:rFonts w:hint="eastAsia" w:ascii="仿宋_GB2312" w:hAnsi="仿宋_GB2312" w:eastAsia="仿宋_GB2312" w:cs="仿宋_GB2312"/>
                <w:spacing w:val="0"/>
                <w:sz w:val="32"/>
                <w:szCs w:val="32"/>
                <w:vertAlign w:val="baseline"/>
              </w:rPr>
            </w:pPr>
            <w:r>
              <w:rPr>
                <w:rFonts w:hint="eastAsia" w:ascii="仿宋_GB2312" w:hAnsi="仿宋_GB2312" w:eastAsia="仿宋_GB2312" w:cs="仿宋_GB2312"/>
                <w:b/>
                <w:bCs/>
                <w:spacing w:val="0"/>
                <w:kern w:val="0"/>
                <w:sz w:val="32"/>
                <w:szCs w:val="32"/>
                <w:lang w:val="en-US" w:eastAsia="zh-CN" w:bidi="ar"/>
              </w:rPr>
              <w:t>专栏五、现代服务业重大工程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 w:hRule="atLeast"/>
        </w:trPr>
        <w:tc>
          <w:tcPr>
            <w:tcW w:w="8520" w:type="dxa"/>
            <w:noWrap w:val="0"/>
            <w:vAlign w:val="top"/>
          </w:tcPr>
          <w:p>
            <w:pPr>
              <w:keepNext w:val="0"/>
              <w:keepLines w:val="0"/>
              <w:pageBreakBefore w:val="0"/>
              <w:widowControl/>
              <w:numPr>
                <w:ilvl w:val="0"/>
                <w:numId w:val="4"/>
              </w:numPr>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kern w:val="0"/>
                <w:sz w:val="32"/>
                <w:szCs w:val="32"/>
                <w:lang w:val="en-US" w:eastAsia="zh-CN" w:bidi="ar"/>
              </w:rPr>
            </w:pPr>
            <w:r>
              <w:rPr>
                <w:rFonts w:hint="eastAsia" w:ascii="仿宋_GB2312" w:hAnsi="仿宋_GB2312" w:eastAsia="仿宋_GB2312" w:cs="仿宋_GB2312"/>
                <w:spacing w:val="0"/>
                <w:sz w:val="32"/>
                <w:szCs w:val="32"/>
                <w:vertAlign w:val="baseline"/>
                <w:lang w:val="en-US" w:eastAsia="zh-CN"/>
              </w:rPr>
              <w:t>持续建设壮大</w:t>
            </w:r>
            <w:r>
              <w:rPr>
                <w:rFonts w:hint="eastAsia" w:ascii="仿宋_GB2312" w:hAnsi="仿宋_GB2312" w:eastAsia="仿宋_GB2312" w:cs="仿宋_GB2312"/>
                <w:spacing w:val="0"/>
                <w:kern w:val="0"/>
                <w:sz w:val="32"/>
                <w:szCs w:val="32"/>
                <w:lang w:val="en-US" w:eastAsia="zh-CN" w:bidi="ar"/>
              </w:rPr>
              <w:t>驻马店国际公路港、马庄铁路物流基地、驻马店公共保税中心、河南甬港华泰国际物流园。</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val="en-US" w:eastAsia="zh-CN"/>
              </w:rPr>
              <w:t>2、</w:t>
            </w:r>
            <w:r>
              <w:rPr>
                <w:rFonts w:hint="eastAsia" w:ascii="仿宋_GB2312" w:hAnsi="仿宋_GB2312" w:eastAsia="仿宋_GB2312" w:cs="仿宋_GB2312"/>
                <w:spacing w:val="0"/>
                <w:kern w:val="0"/>
                <w:sz w:val="32"/>
                <w:szCs w:val="32"/>
                <w:lang w:val="en-US" w:eastAsia="zh-CN" w:bidi="ar"/>
              </w:rPr>
              <w:t>建设中国（河南）自由贸易试验区驻马店开放创新联动区，包括中国（驻马店）跨境小额贸易和个人零售进口试点平台。</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val="en-US" w:eastAsia="zh-CN"/>
              </w:rPr>
              <w:t>3、</w:t>
            </w:r>
            <w:r>
              <w:rPr>
                <w:rFonts w:hint="eastAsia" w:ascii="仿宋_GB2312" w:hAnsi="仿宋_GB2312" w:eastAsia="仿宋_GB2312" w:cs="仿宋_GB2312"/>
                <w:spacing w:val="0"/>
                <w:kern w:val="0"/>
                <w:sz w:val="32"/>
                <w:szCs w:val="32"/>
                <w:lang w:val="en-US" w:eastAsia="zh-CN" w:bidi="ar"/>
              </w:rPr>
              <w:t>利用“六山四湖”等自然生态资源，打造一批康养旅游度假区，重点推动嵖岈山、老乐山、白云山、蚂蚁山、五峰山等康养度假区；利用西部旅游山区，启动建设驻马店文化旅游创意产业园，重点打造皇家驿站、方特旅游度假区和中部欢乐城等重点项目建设。</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2"/>
                <w:szCs w:val="32"/>
                <w:vertAlign w:val="baseline"/>
                <w:lang w:val="en-US" w:eastAsia="zh-CN"/>
              </w:rPr>
            </w:pPr>
            <w:r>
              <w:rPr>
                <w:rFonts w:hint="eastAsia" w:ascii="仿宋_GB2312" w:hAnsi="仿宋_GB2312" w:eastAsia="仿宋_GB2312" w:cs="仿宋_GB2312"/>
                <w:spacing w:val="0"/>
                <w:sz w:val="32"/>
                <w:szCs w:val="32"/>
                <w:lang w:val="en-US" w:eastAsia="zh-CN"/>
              </w:rPr>
              <w:t>4、</w:t>
            </w:r>
            <w:r>
              <w:rPr>
                <w:rFonts w:hint="eastAsia" w:ascii="仿宋_GB2312" w:hAnsi="仿宋_GB2312" w:eastAsia="仿宋_GB2312" w:cs="仿宋_GB2312"/>
                <w:spacing w:val="0"/>
                <w:kern w:val="0"/>
                <w:sz w:val="32"/>
                <w:szCs w:val="32"/>
                <w:lang w:val="en-US" w:eastAsia="zh-CN" w:bidi="ar"/>
              </w:rPr>
              <w:t>支持社区综合服务设施设立家政服务网点，推动家政与养老、育幼、幼教、物业、快递、文旅休闲等社区服务融合发展，培育一批县（区）家政服务示范网点和示范企业。</w:t>
            </w:r>
          </w:p>
        </w:tc>
      </w:tr>
    </w:tbl>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baseline"/>
        <w:rPr>
          <w:rFonts w:hint="eastAsia" w:ascii="仿宋_GB2312" w:hAnsi="仿宋_GB2312" w:eastAsia="仿宋_GB2312" w:cs="仿宋_GB2312"/>
          <w:b w:val="0"/>
          <w:i w:val="0"/>
          <w:caps w:val="0"/>
          <w:color w:val="000000"/>
          <w:spacing w:val="0"/>
          <w:sz w:val="32"/>
          <w:szCs w:val="32"/>
          <w:lang w:eastAsia="zh-CN"/>
        </w:rPr>
      </w:pPr>
      <w:r>
        <w:rPr>
          <w:rFonts w:hint="eastAsia" w:ascii="仿宋_GB2312" w:hAnsi="仿宋_GB2312" w:eastAsia="仿宋_GB2312" w:cs="仿宋_GB2312"/>
          <w:b/>
          <w:i w:val="0"/>
          <w:caps w:val="0"/>
          <w:color w:val="000000"/>
          <w:spacing w:val="0"/>
          <w:sz w:val="32"/>
          <w:szCs w:val="32"/>
          <w:shd w:val="clear" w:fill="FFFFFF"/>
          <w:vertAlign w:val="baseline"/>
        </w:rPr>
        <w:t>第</w:t>
      </w:r>
      <w:r>
        <w:rPr>
          <w:rFonts w:hint="eastAsia" w:ascii="仿宋_GB2312" w:hAnsi="仿宋_GB2312" w:eastAsia="仿宋_GB2312" w:cs="仿宋_GB2312"/>
          <w:b/>
          <w:i w:val="0"/>
          <w:caps w:val="0"/>
          <w:color w:val="000000"/>
          <w:spacing w:val="0"/>
          <w:sz w:val="32"/>
          <w:szCs w:val="32"/>
          <w:shd w:val="clear" w:fill="FFFFFF"/>
          <w:vertAlign w:val="baseline"/>
          <w:lang w:eastAsia="zh-CN"/>
        </w:rPr>
        <w:t>九</w:t>
      </w:r>
      <w:r>
        <w:rPr>
          <w:rFonts w:hint="eastAsia" w:ascii="仿宋_GB2312" w:hAnsi="仿宋_GB2312" w:eastAsia="仿宋_GB2312" w:cs="仿宋_GB2312"/>
          <w:b/>
          <w:i w:val="0"/>
          <w:caps w:val="0"/>
          <w:color w:val="000000"/>
          <w:spacing w:val="0"/>
          <w:sz w:val="32"/>
          <w:szCs w:val="32"/>
          <w:shd w:val="clear" w:fill="FFFFFF"/>
          <w:vertAlign w:val="baseline"/>
        </w:rPr>
        <w:t>章</w:t>
      </w:r>
      <w:r>
        <w:rPr>
          <w:rFonts w:hint="eastAsia" w:ascii="仿宋_GB2312" w:hAnsi="仿宋_GB2312" w:eastAsia="仿宋_GB2312" w:cs="仿宋_GB2312"/>
          <w:b/>
          <w:i w:val="0"/>
          <w:caps w:val="0"/>
          <w:color w:val="000000"/>
          <w:spacing w:val="0"/>
          <w:sz w:val="32"/>
          <w:szCs w:val="32"/>
          <w:shd w:val="clear" w:fill="FFFFFF"/>
          <w:vertAlign w:val="baseline"/>
          <w:lang w:val="en-US" w:eastAsia="zh-CN"/>
        </w:rPr>
        <w:t xml:space="preserve"> </w:t>
      </w:r>
      <w:r>
        <w:rPr>
          <w:rFonts w:hint="eastAsia" w:ascii="仿宋_GB2312" w:hAnsi="仿宋_GB2312" w:eastAsia="仿宋_GB2312" w:cs="仿宋_GB2312"/>
          <w:b/>
          <w:i w:val="0"/>
          <w:caps w:val="0"/>
          <w:color w:val="000000"/>
          <w:spacing w:val="0"/>
          <w:sz w:val="32"/>
          <w:szCs w:val="32"/>
          <w:shd w:val="clear" w:fill="FFFFFF"/>
          <w:vertAlign w:val="baseline"/>
          <w:lang w:eastAsia="zh-CN"/>
        </w:rPr>
        <w:t>深化开放合作，打造内外双</w:t>
      </w:r>
      <w:r>
        <w:rPr>
          <w:rFonts w:hint="eastAsia" w:ascii="仿宋_GB2312" w:hAnsi="仿宋_GB2312" w:eastAsia="仿宋_GB2312" w:cs="仿宋_GB2312"/>
          <w:b/>
          <w:bCs/>
          <w:i w:val="0"/>
          <w:caps w:val="0"/>
          <w:color w:val="000000"/>
          <w:spacing w:val="0"/>
          <w:sz w:val="32"/>
          <w:szCs w:val="32"/>
          <w:shd w:val="clear" w:fill="FFFFFF"/>
          <w:vertAlign w:val="baseline"/>
        </w:rPr>
        <w:t>循环</w:t>
      </w:r>
      <w:r>
        <w:rPr>
          <w:rFonts w:hint="eastAsia" w:ascii="仿宋_GB2312" w:hAnsi="仿宋_GB2312" w:eastAsia="仿宋_GB2312" w:cs="仿宋_GB2312"/>
          <w:b/>
          <w:bCs/>
          <w:i w:val="0"/>
          <w:caps w:val="0"/>
          <w:color w:val="000000"/>
          <w:spacing w:val="0"/>
          <w:sz w:val="32"/>
          <w:szCs w:val="32"/>
          <w:shd w:val="clear" w:fill="FFFFFF"/>
          <w:vertAlign w:val="baseline"/>
          <w:lang w:eastAsia="zh-CN"/>
        </w:rPr>
        <w:t>新样板</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shd w:val="clear" w:fill="FFFFFF"/>
          <w:vertAlign w:val="baseline"/>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shd w:val="clear" w:fill="FFFFFF"/>
          <w:vertAlign w:val="baseline"/>
        </w:rPr>
      </w:pPr>
      <w:r>
        <w:rPr>
          <w:rFonts w:hint="eastAsia" w:ascii="仿宋_GB2312" w:hAnsi="仿宋_GB2312" w:eastAsia="仿宋_GB2312" w:cs="仿宋_GB2312"/>
          <w:b w:val="0"/>
          <w:i w:val="0"/>
          <w:caps w:val="0"/>
          <w:color w:val="000000"/>
          <w:spacing w:val="0"/>
          <w:sz w:val="32"/>
          <w:szCs w:val="32"/>
          <w:shd w:val="clear" w:fill="FFFFFF"/>
          <w:vertAlign w:val="baseline"/>
        </w:rPr>
        <w:t>围绕纳入国内国际双循环，坚持改革创新、绿色集约、区域协同、特色发展，增加产业集聚区和服务两区综合载体功能，打造产业高质量发展的战略先行区。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420"/>
        <w:jc w:val="center"/>
        <w:textAlignment w:val="baseline"/>
        <w:rPr>
          <w:rFonts w:hint="eastAsia" w:ascii="仿宋_GB2312" w:hAnsi="仿宋_GB2312" w:eastAsia="仿宋_GB2312" w:cs="仿宋_GB2312"/>
          <w:b w:val="0"/>
          <w:bCs/>
          <w:i w:val="0"/>
          <w:caps w:val="0"/>
          <w:color w:val="000000"/>
          <w:spacing w:val="0"/>
          <w:sz w:val="32"/>
          <w:szCs w:val="32"/>
        </w:rPr>
      </w:pPr>
      <w:r>
        <w:rPr>
          <w:rFonts w:hint="eastAsia" w:ascii="仿宋_GB2312" w:hAnsi="仿宋_GB2312" w:eastAsia="仿宋_GB2312" w:cs="仿宋_GB2312"/>
          <w:b w:val="0"/>
          <w:bCs/>
          <w:i w:val="0"/>
          <w:caps w:val="0"/>
          <w:color w:val="000000"/>
          <w:spacing w:val="0"/>
          <w:sz w:val="32"/>
          <w:szCs w:val="32"/>
          <w:shd w:val="clear" w:fill="FFFFFF"/>
          <w:vertAlign w:val="baseline"/>
        </w:rPr>
        <w:t>第</w:t>
      </w:r>
      <w:r>
        <w:rPr>
          <w:rFonts w:hint="eastAsia" w:ascii="仿宋_GB2312" w:hAnsi="仿宋_GB2312" w:eastAsia="仿宋_GB2312" w:cs="仿宋_GB2312"/>
          <w:b w:val="0"/>
          <w:bCs/>
          <w:i w:val="0"/>
          <w:caps w:val="0"/>
          <w:color w:val="000000"/>
          <w:spacing w:val="0"/>
          <w:sz w:val="32"/>
          <w:szCs w:val="32"/>
          <w:shd w:val="clear" w:fill="FFFFFF"/>
          <w:vertAlign w:val="baseline"/>
          <w:lang w:eastAsia="zh-CN"/>
        </w:rPr>
        <w:t>一节</w:t>
      </w:r>
      <w:r>
        <w:rPr>
          <w:rFonts w:hint="eastAsia" w:ascii="仿宋_GB2312" w:hAnsi="仿宋_GB2312" w:eastAsia="仿宋_GB2312" w:cs="仿宋_GB2312"/>
          <w:b w:val="0"/>
          <w:bCs/>
          <w:i w:val="0"/>
          <w:caps w:val="0"/>
          <w:color w:val="000000"/>
          <w:spacing w:val="0"/>
          <w:sz w:val="32"/>
          <w:szCs w:val="32"/>
          <w:shd w:val="clear" w:fill="FFFFFF"/>
          <w:vertAlign w:val="baseline"/>
        </w:rPr>
        <w:t>打造高质量对外开放平台</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shd w:val="clear" w:fill="FFFFFF"/>
          <w:vertAlign w:val="baseline"/>
        </w:rPr>
        <w:t>放大国家战略平台叠加联动效应，完善开放载体功能，加强制度创新和政策集成，加快形成更具竞争力的多层次开放平台优势。持续办好中国农产品加工业投资贸易洽谈会，加快推动中国（驻马店）国际农产品加工产业园建设，做大做强开放招商平台。充分发挥海关开放平台优势，加快保税物流中心（B型）申建进程，积极建设中国跨境电子商务综合试验区，提高贸易便利化水平。推进中国（河南）自由贸易试验区驻马店联动片区申建工作。加快建设驻马店地区性陆港，推动与天津、青岛、连云港、上海、宁波舟山港等沿海沿边港口口岸的战略联合，加快口岸基础设施建设。推动更多企业参与国际竞争，培育出口名牌产品，以食品、专用汽车、装备制造为重点，做好品牌商品推介。加快创建自主品牌和国际认证，扩大产品的影响力。</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420"/>
        <w:jc w:val="center"/>
        <w:textAlignment w:val="baseline"/>
        <w:rPr>
          <w:rFonts w:hint="eastAsia" w:ascii="仿宋_GB2312" w:hAnsi="仿宋_GB2312" w:eastAsia="仿宋_GB2312" w:cs="仿宋_GB2312"/>
          <w:b w:val="0"/>
          <w:bCs/>
          <w:i w:val="0"/>
          <w:caps w:val="0"/>
          <w:color w:val="000000"/>
          <w:spacing w:val="0"/>
          <w:sz w:val="32"/>
          <w:szCs w:val="32"/>
        </w:rPr>
      </w:pPr>
      <w:r>
        <w:rPr>
          <w:rFonts w:hint="eastAsia" w:ascii="仿宋_GB2312" w:hAnsi="仿宋_GB2312" w:eastAsia="仿宋_GB2312" w:cs="仿宋_GB2312"/>
          <w:b w:val="0"/>
          <w:bCs/>
          <w:i w:val="0"/>
          <w:caps w:val="0"/>
          <w:color w:val="000000"/>
          <w:spacing w:val="0"/>
          <w:sz w:val="32"/>
          <w:szCs w:val="32"/>
          <w:shd w:val="clear" w:fill="FFFFFF"/>
          <w:vertAlign w:val="baseline"/>
        </w:rPr>
        <w:t>第</w:t>
      </w:r>
      <w:r>
        <w:rPr>
          <w:rFonts w:hint="eastAsia" w:ascii="仿宋_GB2312" w:hAnsi="仿宋_GB2312" w:eastAsia="仿宋_GB2312" w:cs="仿宋_GB2312"/>
          <w:b w:val="0"/>
          <w:bCs/>
          <w:i w:val="0"/>
          <w:caps w:val="0"/>
          <w:color w:val="000000"/>
          <w:spacing w:val="0"/>
          <w:sz w:val="32"/>
          <w:szCs w:val="32"/>
          <w:shd w:val="clear" w:fill="FFFFFF"/>
          <w:vertAlign w:val="baseline"/>
          <w:lang w:eastAsia="zh-CN"/>
        </w:rPr>
        <w:t>二节</w:t>
      </w:r>
      <w:r>
        <w:rPr>
          <w:rFonts w:hint="eastAsia" w:ascii="仿宋_GB2312" w:hAnsi="仿宋_GB2312" w:eastAsia="仿宋_GB2312" w:cs="仿宋_GB2312"/>
          <w:b w:val="0"/>
          <w:bCs/>
          <w:i w:val="0"/>
          <w:caps w:val="0"/>
          <w:color w:val="000000"/>
          <w:spacing w:val="0"/>
          <w:sz w:val="32"/>
          <w:szCs w:val="32"/>
          <w:shd w:val="clear" w:fill="FFFFFF"/>
          <w:vertAlign w:val="baseline"/>
        </w:rPr>
        <w:t>拓展开放合作空间</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shd w:val="clear" w:fill="FFFFFF"/>
          <w:vertAlign w:val="baseline"/>
        </w:rPr>
        <w:t>主动融入“一带一路”、河南“四路协同”开放格局，积极对接郑州航空港经济综合实验区、新郑机场、明港机场等，推进海铁联运、公铁联运、公路物流港无缝对接，搭建海陆空立体化交通、物流体系。推进“互联网+外贸”，引导传统外贸和制造企业“上线触网”，开展跨境电子商务，实现电子商务平台与国内外市场互联互通。推动更多企业参与国际竞争，加快创建自主品牌和国际认证，扩大产品的影响力。深化国际产能合作，鼓励有影响力的企业开展海外合作、并购和工程承包。争取有关国家和地区在驻设立常驻办事机构，积极申办国际会议、展会、论坛等重大活动。深入推进跨区域协作，继续加强周边合作，全面深化同京津冀、长三角、粤港澳大湾区等区域合作，主动开展与有关国家和地区合作，形成合作交流新格局。以淮河生态经济带为纽带，推动中原—长三角经济走廊建设，强化淮河、汉江生态经济带上下游合作联动发展。加快平舆县户外休闲、西平纺织服装、驿城区装备制造、西平县畜牧机械、泌阳县食用菌、确山县小提琴、正阳县节庆用品、上蔡县鞋类产品等外贸产业发展，争创国家级、省级外贸转型升级基地。</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420"/>
        <w:jc w:val="center"/>
        <w:textAlignment w:val="baseline"/>
        <w:rPr>
          <w:rFonts w:hint="eastAsia" w:ascii="仿宋_GB2312" w:hAnsi="仿宋_GB2312" w:eastAsia="仿宋_GB2312" w:cs="仿宋_GB2312"/>
          <w:b w:val="0"/>
          <w:bCs/>
          <w:i w:val="0"/>
          <w:caps w:val="0"/>
          <w:color w:val="000000"/>
          <w:spacing w:val="0"/>
          <w:sz w:val="32"/>
          <w:szCs w:val="32"/>
        </w:rPr>
      </w:pPr>
      <w:r>
        <w:rPr>
          <w:rFonts w:hint="eastAsia" w:ascii="仿宋_GB2312" w:hAnsi="仿宋_GB2312" w:eastAsia="仿宋_GB2312" w:cs="仿宋_GB2312"/>
          <w:b w:val="0"/>
          <w:bCs/>
          <w:i w:val="0"/>
          <w:caps w:val="0"/>
          <w:color w:val="000000"/>
          <w:spacing w:val="0"/>
          <w:sz w:val="32"/>
          <w:szCs w:val="32"/>
          <w:shd w:val="clear" w:fill="FFFFFF"/>
          <w:vertAlign w:val="baseline"/>
        </w:rPr>
        <w:t>第</w:t>
      </w:r>
      <w:r>
        <w:rPr>
          <w:rFonts w:hint="eastAsia" w:ascii="仿宋_GB2312" w:hAnsi="仿宋_GB2312" w:eastAsia="仿宋_GB2312" w:cs="仿宋_GB2312"/>
          <w:b w:val="0"/>
          <w:bCs/>
          <w:i w:val="0"/>
          <w:caps w:val="0"/>
          <w:color w:val="000000"/>
          <w:spacing w:val="0"/>
          <w:sz w:val="32"/>
          <w:szCs w:val="32"/>
          <w:shd w:val="clear" w:fill="FFFFFF"/>
          <w:vertAlign w:val="baseline"/>
          <w:lang w:eastAsia="zh-CN"/>
        </w:rPr>
        <w:t>三节</w:t>
      </w:r>
      <w:r>
        <w:rPr>
          <w:rFonts w:hint="eastAsia" w:ascii="仿宋_GB2312" w:hAnsi="仿宋_GB2312" w:eastAsia="仿宋_GB2312" w:cs="仿宋_GB2312"/>
          <w:b w:val="0"/>
          <w:bCs/>
          <w:i w:val="0"/>
          <w:caps w:val="0"/>
          <w:color w:val="000000"/>
          <w:spacing w:val="0"/>
          <w:sz w:val="32"/>
          <w:szCs w:val="32"/>
          <w:shd w:val="clear" w:fill="FFFFFF"/>
          <w:vertAlign w:val="baseline"/>
        </w:rPr>
        <w:t>强力推进开放招商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shd w:val="clear" w:fill="FFFFFF"/>
          <w:vertAlign w:val="baseline"/>
        </w:rPr>
        <w:t>坚持把开放招商作为关键一招，创新市场化、专业化、精细化招商引资机制。优化招商合作“热力图”，编制产业链招商图谱和路线图，聚焦京津冀、长三角、粤港澳大湾区，紧盯“头部企业”、核心节点企业、细分行业领军企业、单项冠军企业，实施重点招商。继续办好中国农加工投洽会等重大招商活动，围绕主导产业和战略性新兴产业，突出招大引强、招先引优、招新引高，大力开展产业链长招商、大员招商、以商招商、节会招商、“飞地”招商，创新开展股权招商、标准化厂房招商、众创孵化招商、创新平台招商、“技术团队+资本+项目招商，积极承接国内外产业转移，争取中央企业和国内外优势企业在我市设立区域总部和功能性机构，实现企业集群式引进、产业链接式转移，培育壮大产业集群。加强招商队伍建设，优化招商服务，提升专业招商能力。建立完善招商联络机制，对意向和签约项目，定人定责、专人跟踪，对意向和签约项目给予优质“一条龙”服务，坚持问题和结果导向，深入一线，定时总结分析，多渠道破解项目审批、用地、资金等要素制约。重点招商项目实行一名包干领导、一个服务团队、一套行动方案的“三个一”工作法，从项目落地、开工、建设、投产一包到底，确保重点招引项目早落地、早见效。完善“标准地出让”“要素跟着项目走”“不见面审批”机制，实现企业“拿地即开工”“进驻即生产”，积极引进投资项目，力争每年引进2-3家国内外500强企业或行业龙头企业落户我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420"/>
        <w:jc w:val="center"/>
        <w:textAlignment w:val="baseline"/>
        <w:rPr>
          <w:rFonts w:hint="eastAsia" w:ascii="仿宋_GB2312" w:hAnsi="仿宋_GB2312" w:eastAsia="仿宋_GB2312" w:cs="仿宋_GB2312"/>
          <w:b w:val="0"/>
          <w:bCs/>
          <w:i w:val="0"/>
          <w:caps w:val="0"/>
          <w:color w:val="000000"/>
          <w:spacing w:val="0"/>
          <w:sz w:val="32"/>
          <w:szCs w:val="32"/>
        </w:rPr>
      </w:pPr>
      <w:r>
        <w:rPr>
          <w:rFonts w:hint="eastAsia" w:ascii="仿宋_GB2312" w:hAnsi="仿宋_GB2312" w:eastAsia="仿宋_GB2312" w:cs="仿宋_GB2312"/>
          <w:b w:val="0"/>
          <w:bCs/>
          <w:i w:val="0"/>
          <w:caps w:val="0"/>
          <w:color w:val="000000"/>
          <w:spacing w:val="0"/>
          <w:sz w:val="32"/>
          <w:szCs w:val="32"/>
          <w:shd w:val="clear" w:fill="FFFFFF"/>
          <w:vertAlign w:val="baseline"/>
        </w:rPr>
        <w:t>第四</w:t>
      </w:r>
      <w:r>
        <w:rPr>
          <w:rFonts w:hint="eastAsia" w:ascii="仿宋_GB2312" w:hAnsi="仿宋_GB2312" w:eastAsia="仿宋_GB2312" w:cs="仿宋_GB2312"/>
          <w:b w:val="0"/>
          <w:bCs/>
          <w:i w:val="0"/>
          <w:caps w:val="0"/>
          <w:color w:val="000000"/>
          <w:spacing w:val="0"/>
          <w:sz w:val="32"/>
          <w:szCs w:val="32"/>
          <w:shd w:val="clear" w:fill="FFFFFF"/>
          <w:vertAlign w:val="baseline"/>
          <w:lang w:eastAsia="zh-CN"/>
        </w:rPr>
        <w:t>节</w:t>
      </w:r>
      <w:r>
        <w:rPr>
          <w:rFonts w:hint="eastAsia" w:ascii="仿宋_GB2312" w:hAnsi="仿宋_GB2312" w:eastAsia="仿宋_GB2312" w:cs="仿宋_GB2312"/>
          <w:b w:val="0"/>
          <w:bCs/>
          <w:i w:val="0"/>
          <w:caps w:val="0"/>
          <w:color w:val="000000"/>
          <w:spacing w:val="0"/>
          <w:sz w:val="32"/>
          <w:szCs w:val="32"/>
          <w:shd w:val="clear" w:fill="FFFFFF"/>
          <w:vertAlign w:val="baseline"/>
        </w:rPr>
        <w:t>打造一流营商环境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shd w:val="clear" w:fill="FFFFFF"/>
          <w:vertAlign w:val="baseline"/>
        </w:rPr>
        <w:t>深入实施营商环境重点领域攻坚行动，强化体制机制创新和政策升级，全面提升营商环境竞争力深化“证照分离“照后减证”等商事制度改革，完善便利各类市场主体的注册经营、及时享受扶持政策、注销退出等机制。强化事中事后监管，完善跨领域跨部门协同监管机制，全面推行“双随机一公开”监管，对新产业新业态实行包容审慎监管。建立全市营商环境监测服务平台，持续开展整改专项行动。深入开展营商环境评价和以评促改，推动营商环境核心指标进入全国一流行列，申建国家营商环境创新试验区，</w:t>
      </w:r>
      <w:r>
        <w:rPr>
          <w:rFonts w:hint="eastAsia" w:ascii="仿宋_GB2312" w:hAnsi="仿宋_GB2312" w:eastAsia="仿宋_GB2312" w:cs="仿宋_GB2312"/>
          <w:b w:val="0"/>
          <w:bCs w:val="0"/>
          <w:i w:val="0"/>
          <w:caps w:val="0"/>
          <w:color w:val="000000"/>
          <w:spacing w:val="0"/>
          <w:sz w:val="32"/>
          <w:szCs w:val="32"/>
          <w:shd w:val="clear" w:fill="FFFFFF"/>
          <w:vertAlign w:val="baseline"/>
        </w:rPr>
        <w:t>打造市场化</w:t>
      </w:r>
      <w:r>
        <w:rPr>
          <w:rFonts w:hint="eastAsia" w:ascii="仿宋_GB2312" w:hAnsi="仿宋_GB2312" w:eastAsia="仿宋_GB2312" w:cs="仿宋_GB2312"/>
          <w:b w:val="0"/>
          <w:bCs w:val="0"/>
          <w:i w:val="0"/>
          <w:caps w:val="0"/>
          <w:color w:val="000000"/>
          <w:spacing w:val="0"/>
          <w:sz w:val="32"/>
          <w:szCs w:val="32"/>
          <w:shd w:val="clear" w:fill="FFFFFF"/>
          <w:vertAlign w:val="baseline"/>
          <w:lang w:eastAsia="zh-CN"/>
        </w:rPr>
        <w:t>、</w:t>
      </w:r>
      <w:r>
        <w:rPr>
          <w:rFonts w:hint="eastAsia" w:ascii="仿宋_GB2312" w:hAnsi="仿宋_GB2312" w:eastAsia="仿宋_GB2312" w:cs="仿宋_GB2312"/>
          <w:b w:val="0"/>
          <w:bCs w:val="0"/>
          <w:i w:val="0"/>
          <w:caps w:val="0"/>
          <w:color w:val="000000"/>
          <w:spacing w:val="0"/>
          <w:sz w:val="32"/>
          <w:szCs w:val="32"/>
          <w:shd w:val="clear" w:fill="FFFFFF"/>
          <w:vertAlign w:val="baseline"/>
        </w:rPr>
        <w:t>法治化</w:t>
      </w:r>
      <w:r>
        <w:rPr>
          <w:rFonts w:hint="eastAsia" w:ascii="仿宋_GB2312" w:hAnsi="仿宋_GB2312" w:eastAsia="仿宋_GB2312" w:cs="仿宋_GB2312"/>
          <w:b w:val="0"/>
          <w:bCs w:val="0"/>
          <w:i w:val="0"/>
          <w:caps w:val="0"/>
          <w:color w:val="000000"/>
          <w:spacing w:val="0"/>
          <w:sz w:val="32"/>
          <w:szCs w:val="32"/>
          <w:shd w:val="clear" w:fill="FFFFFF"/>
          <w:vertAlign w:val="baseline"/>
          <w:lang w:eastAsia="zh-CN"/>
        </w:rPr>
        <w:t>、</w:t>
      </w:r>
      <w:r>
        <w:rPr>
          <w:rFonts w:hint="eastAsia" w:ascii="仿宋_GB2312" w:hAnsi="仿宋_GB2312" w:eastAsia="仿宋_GB2312" w:cs="仿宋_GB2312"/>
          <w:b w:val="0"/>
          <w:bCs w:val="0"/>
          <w:i w:val="0"/>
          <w:caps w:val="0"/>
          <w:color w:val="000000"/>
          <w:spacing w:val="0"/>
          <w:sz w:val="32"/>
          <w:szCs w:val="32"/>
          <w:shd w:val="clear" w:fill="FFFFFF"/>
          <w:vertAlign w:val="baseline"/>
        </w:rPr>
        <w:t>国际化营商环境。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shd w:val="clear" w:fill="FFFFFF"/>
          <w:vertAlign w:val="baseline"/>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0"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center"/>
              <w:rPr>
                <w:rFonts w:hint="eastAsia" w:ascii="仿宋_GB2312" w:hAnsi="仿宋_GB2312" w:eastAsia="仿宋_GB2312" w:cs="仿宋_GB2312"/>
                <w:spacing w:val="0"/>
                <w:sz w:val="32"/>
                <w:szCs w:val="32"/>
                <w:vertAlign w:val="baseline"/>
              </w:rPr>
            </w:pPr>
            <w:r>
              <w:rPr>
                <w:rFonts w:hint="eastAsia" w:ascii="仿宋_GB2312" w:hAnsi="仿宋_GB2312" w:eastAsia="仿宋_GB2312" w:cs="仿宋_GB2312"/>
                <w:b/>
                <w:bCs/>
                <w:spacing w:val="0"/>
                <w:kern w:val="0"/>
                <w:sz w:val="32"/>
                <w:szCs w:val="32"/>
                <w:lang w:val="en-US" w:eastAsia="zh-CN" w:bidi="ar"/>
              </w:rPr>
              <w:t>专栏六、建设开放强市重大工程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8520"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kern w:val="0"/>
                <w:sz w:val="32"/>
                <w:szCs w:val="32"/>
                <w:lang w:val="en-US" w:eastAsia="zh-CN" w:bidi="ar"/>
              </w:rPr>
              <w:t>1、力争培育年进出口额1亿元以上外贸企业10家以上，培育2个以上国家级外贸转型升级基地，5个以上省级基地，基地出口额占比达到全市的20％以上，出口超1000万美元外贸产业集群达到8个，支持有条件的外贸转型升级基地创建国家级基地，打造一批有一定进出口规模、较强国际化经营能力的龙头企业。</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kern w:val="0"/>
                <w:sz w:val="32"/>
                <w:szCs w:val="32"/>
                <w:lang w:val="en-US" w:eastAsia="zh-CN" w:bidi="ar"/>
              </w:rPr>
            </w:pPr>
            <w:r>
              <w:rPr>
                <w:rFonts w:hint="eastAsia" w:ascii="仿宋_GB2312" w:hAnsi="仿宋_GB2312" w:eastAsia="仿宋_GB2312" w:cs="仿宋_GB2312"/>
                <w:spacing w:val="0"/>
                <w:sz w:val="32"/>
                <w:szCs w:val="32"/>
                <w:lang w:val="en-US" w:eastAsia="zh-CN"/>
              </w:rPr>
              <w:t>2、</w:t>
            </w:r>
            <w:r>
              <w:rPr>
                <w:rFonts w:hint="eastAsia" w:ascii="仿宋_GB2312" w:hAnsi="仿宋_GB2312" w:eastAsia="仿宋_GB2312" w:cs="仿宋_GB2312"/>
                <w:spacing w:val="0"/>
                <w:kern w:val="0"/>
                <w:sz w:val="32"/>
                <w:szCs w:val="32"/>
                <w:lang w:val="en-US" w:eastAsia="zh-CN" w:bidi="ar"/>
              </w:rPr>
              <w:t>提升农产品出口平台功能，加快中国（驻马店）国际农产品加工产业园建设步伐。抓牢“项目建设”，牢固树立“项目为王”的理念，把项目建设作为加快园区发展的“第一引擎”，按照“全国一流、世界领先”要求，围绕产业园“四基地一中心”发展定位，面向全球招大引强、招高引新、招特引优，着力招引一批农产品精深加工、高端食品制造、食品机械装备制造、农产品加工科技研发、农产品加工贸易物流等领域企业。</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kern w:val="0"/>
                <w:sz w:val="32"/>
                <w:szCs w:val="32"/>
                <w:lang w:val="en-US" w:eastAsia="zh-CN" w:bidi="ar"/>
              </w:rPr>
              <w:t>3、着力推动“以资引资”，力争一批投资50亿元、100亿元以上的重大项目达成合作。设立新兴产业投资引导基金和创业投资引导基金，以股权投资等方式参与招商项目，吸引符合我市产业发展方向的优质项目落户。</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2"/>
                <w:szCs w:val="32"/>
                <w:vertAlign w:val="baseline"/>
                <w:lang w:val="en-US" w:eastAsia="zh-CN"/>
              </w:rPr>
            </w:pPr>
            <w:r>
              <w:rPr>
                <w:rFonts w:hint="eastAsia" w:ascii="仿宋_GB2312" w:hAnsi="仿宋_GB2312" w:eastAsia="仿宋_GB2312" w:cs="仿宋_GB2312"/>
                <w:spacing w:val="0"/>
                <w:sz w:val="32"/>
                <w:szCs w:val="32"/>
                <w:lang w:val="en-US" w:eastAsia="zh-CN"/>
              </w:rPr>
              <w:t>4、</w:t>
            </w:r>
            <w:r>
              <w:rPr>
                <w:rFonts w:hint="eastAsia" w:ascii="仿宋_GB2312" w:hAnsi="仿宋_GB2312" w:eastAsia="仿宋_GB2312" w:cs="仿宋_GB2312"/>
                <w:spacing w:val="0"/>
                <w:kern w:val="0"/>
                <w:sz w:val="32"/>
                <w:szCs w:val="32"/>
                <w:lang w:val="en-US" w:eastAsia="zh-CN" w:bidi="ar"/>
              </w:rPr>
              <w:t>到2025年，驻马店市营商环境和社会信用体系建设水平显著提高，进一步稳固改革成果，难点堵点问题得到有效纾解，重点领域改革示范引领作用充分发挥；取得一批含金量高、突破性强、国内领先的制度创新成果，市场主体和人民群众满意度与获得感显著提升，营商环境和社会信用体系建设水平达到河南领先、全国先进行列。</w:t>
            </w:r>
          </w:p>
        </w:tc>
      </w:tr>
    </w:tbl>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center"/>
        <w:textAlignment w:val="baseline"/>
        <w:rPr>
          <w:rFonts w:hint="eastAsia" w:ascii="仿宋_GB2312" w:hAnsi="仿宋_GB2312" w:eastAsia="仿宋_GB2312" w:cs="仿宋_GB2312"/>
          <w:b/>
          <w:bCs w:val="0"/>
          <w:i w:val="0"/>
          <w:caps w:val="0"/>
          <w:color w:val="000000"/>
          <w:spacing w:val="0"/>
          <w:sz w:val="32"/>
          <w:szCs w:val="32"/>
          <w:shd w:val="clear" w:fill="FFFFFF"/>
          <w:vertAlign w:val="baseline"/>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center"/>
        <w:textAlignment w:val="baseline"/>
        <w:rPr>
          <w:rFonts w:hint="eastAsia" w:ascii="仿宋_GB2312" w:hAnsi="仿宋_GB2312" w:eastAsia="仿宋_GB2312" w:cs="仿宋_GB2312"/>
          <w:b/>
          <w:bCs w:val="0"/>
          <w:i w:val="0"/>
          <w:caps w:val="0"/>
          <w:color w:val="000000"/>
          <w:spacing w:val="0"/>
          <w:sz w:val="32"/>
          <w:szCs w:val="32"/>
        </w:rPr>
      </w:pPr>
      <w:r>
        <w:rPr>
          <w:rFonts w:hint="eastAsia" w:ascii="仿宋_GB2312" w:hAnsi="仿宋_GB2312" w:eastAsia="仿宋_GB2312" w:cs="仿宋_GB2312"/>
          <w:b/>
          <w:bCs w:val="0"/>
          <w:i w:val="0"/>
          <w:caps w:val="0"/>
          <w:color w:val="000000"/>
          <w:spacing w:val="0"/>
          <w:sz w:val="32"/>
          <w:szCs w:val="32"/>
          <w:shd w:val="clear" w:fill="FFFFFF"/>
          <w:vertAlign w:val="baseline"/>
        </w:rPr>
        <w:t>第十章</w:t>
      </w:r>
      <w:r>
        <w:rPr>
          <w:rFonts w:hint="eastAsia" w:ascii="仿宋_GB2312" w:hAnsi="仿宋_GB2312" w:eastAsia="仿宋_GB2312" w:cs="仿宋_GB2312"/>
          <w:b/>
          <w:bCs w:val="0"/>
          <w:i w:val="0"/>
          <w:caps w:val="0"/>
          <w:color w:val="000000"/>
          <w:spacing w:val="0"/>
          <w:sz w:val="32"/>
          <w:szCs w:val="32"/>
          <w:shd w:val="clear" w:fill="FFFFFF"/>
          <w:vertAlign w:val="baseline"/>
          <w:lang w:val="en-US" w:eastAsia="zh-CN"/>
        </w:rPr>
        <w:t xml:space="preserve">  优化</w:t>
      </w:r>
      <w:r>
        <w:rPr>
          <w:rFonts w:hint="eastAsia" w:ascii="仿宋_GB2312" w:hAnsi="仿宋_GB2312" w:eastAsia="仿宋_GB2312" w:cs="仿宋_GB2312"/>
          <w:b/>
          <w:bCs w:val="0"/>
          <w:spacing w:val="0"/>
          <w:sz w:val="32"/>
          <w:szCs w:val="32"/>
        </w:rPr>
        <w:t>交通网络，打造全国枢纽经济先行区</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ind w:firstLine="648" w:firstLineChars="200"/>
        <w:jc w:val="left"/>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kern w:val="0"/>
          <w:sz w:val="32"/>
          <w:szCs w:val="32"/>
          <w:lang w:val="en-US" w:eastAsia="zh-CN" w:bidi="ar"/>
        </w:rPr>
        <w:t>“十四五”时期，基本建成基础设施衔接高效、服务能力优良充分、行业管养规范有序、治理能力显著提升的现代综合交通运输体系，</w:t>
      </w:r>
      <w:r>
        <w:rPr>
          <w:rFonts w:hint="eastAsia" w:ascii="仿宋_GB2312" w:hAnsi="仿宋_GB2312" w:eastAsia="仿宋_GB2312" w:cs="仿宋_GB2312"/>
          <w:b/>
          <w:spacing w:val="0"/>
          <w:kern w:val="0"/>
          <w:sz w:val="32"/>
          <w:szCs w:val="32"/>
          <w:lang w:val="en-US" w:eastAsia="zh-CN" w:bidi="ar"/>
        </w:rPr>
        <w:t>实现“一枢纽一示范、四通四覆盖、三降三提升”</w:t>
      </w:r>
      <w:r>
        <w:rPr>
          <w:rFonts w:hint="eastAsia" w:ascii="仿宋_GB2312" w:hAnsi="仿宋_GB2312" w:eastAsia="仿宋_GB2312" w:cs="仿宋_GB2312"/>
          <w:spacing w:val="0"/>
          <w:kern w:val="0"/>
          <w:sz w:val="32"/>
          <w:szCs w:val="32"/>
          <w:lang w:val="en-US" w:eastAsia="zh-CN" w:bidi="ar"/>
        </w:rPr>
        <w:t>；综合交通快速网、干线网和基础网三网融合、立体互联，综合运输通道内畅外通、衔接高效，区域性综合交通枢纽地位明显提升；交通出行环境明显改善，运输能力品质均明显提升，人民满意度大幅提升，支撑和保障驻马店市经济社会高质量发展、建设全国一流地级市、民生改善能力显著增强。</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2"/>
          <w:szCs w:val="32"/>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Autospacing="0" w:line="580" w:lineRule="exact"/>
        <w:ind w:left="0" w:firstLine="420"/>
        <w:jc w:val="center"/>
        <w:rPr>
          <w:rFonts w:hint="eastAsia" w:ascii="仿宋_GB2312" w:hAnsi="仿宋_GB2312" w:eastAsia="仿宋_GB2312" w:cs="仿宋_GB2312"/>
          <w:b w:val="0"/>
          <w:bCs/>
          <w:spacing w:val="0"/>
          <w:sz w:val="32"/>
          <w:szCs w:val="32"/>
        </w:rPr>
      </w:pPr>
      <w:r>
        <w:rPr>
          <w:rFonts w:hint="eastAsia" w:ascii="仿宋_GB2312" w:hAnsi="仿宋_GB2312" w:eastAsia="仿宋_GB2312" w:cs="仿宋_GB2312"/>
          <w:b w:val="0"/>
          <w:bCs/>
          <w:spacing w:val="0"/>
          <w:sz w:val="32"/>
          <w:szCs w:val="32"/>
          <w:lang w:eastAsia="zh-CN"/>
        </w:rPr>
        <w:t>第一节</w:t>
      </w:r>
      <w:r>
        <w:rPr>
          <w:rFonts w:hint="eastAsia" w:ascii="仿宋_GB2312" w:hAnsi="仿宋_GB2312" w:eastAsia="仿宋_GB2312" w:cs="仿宋_GB2312"/>
          <w:b w:val="0"/>
          <w:bCs/>
          <w:spacing w:val="0"/>
          <w:sz w:val="32"/>
          <w:szCs w:val="32"/>
        </w:rPr>
        <w:t>推进综合运输大通道建设</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ind w:firstLine="648" w:firstLineChars="200"/>
        <w:jc w:val="left"/>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充分发挥交通区位优势，以铁路、高速、干线公路为重点，构建以驻马店市区为核心、各县为节点的“三纵三横”综合运输通道，强化与周边省市的对外衔接与快速联系，努力实现与郑州大都市区对接，加强与周边城市群便捷联系，积极融入国家“一带一路”建设，打造区域性综合交通枢纽。</w:t>
      </w:r>
      <w:r>
        <w:rPr>
          <w:rFonts w:hint="eastAsia" w:ascii="仿宋_GB2312" w:hAnsi="仿宋_GB2312" w:eastAsia="仿宋_GB2312" w:cs="仿宋_GB2312"/>
          <w:spacing w:val="0"/>
          <w:kern w:val="0"/>
          <w:sz w:val="32"/>
          <w:szCs w:val="32"/>
          <w:lang w:val="en-US" w:eastAsia="zh-CN" w:bidi="ar"/>
        </w:rPr>
        <w:t>到2035年，实现区域性综合交通枢纽建设目标，全面建成便捷顺畅、经济高效、绿色集约、智能先进、安全可靠的现代综合交通运输体系，为豫南区域交通高质量发展当好先行，人民群众出行幸福感和获得感进一步提高。</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Autospacing="0" w:line="580" w:lineRule="exact"/>
        <w:ind w:firstLine="648" w:firstLineChars="200"/>
        <w:rPr>
          <w:rFonts w:hint="eastAsia" w:ascii="仿宋_GB2312" w:hAnsi="仿宋_GB2312" w:eastAsia="仿宋_GB2312" w:cs="仿宋_GB2312"/>
          <w:spacing w:val="0"/>
          <w:sz w:val="32"/>
          <w:szCs w:val="32"/>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Autospacing="0" w:line="580" w:lineRule="exact"/>
        <w:ind w:left="0" w:firstLine="420"/>
        <w:jc w:val="center"/>
        <w:rPr>
          <w:rFonts w:hint="eastAsia" w:ascii="仿宋_GB2312" w:hAnsi="仿宋_GB2312" w:eastAsia="仿宋_GB2312" w:cs="仿宋_GB2312"/>
          <w:b w:val="0"/>
          <w:bCs/>
          <w:spacing w:val="0"/>
          <w:sz w:val="32"/>
          <w:szCs w:val="32"/>
        </w:rPr>
      </w:pPr>
      <w:r>
        <w:rPr>
          <w:rFonts w:hint="eastAsia" w:ascii="仿宋_GB2312" w:hAnsi="仿宋_GB2312" w:eastAsia="仿宋_GB2312" w:cs="仿宋_GB2312"/>
          <w:b w:val="0"/>
          <w:bCs/>
          <w:spacing w:val="0"/>
          <w:sz w:val="32"/>
          <w:szCs w:val="32"/>
          <w:lang w:eastAsia="zh-CN"/>
        </w:rPr>
        <w:t>第二节</w:t>
      </w:r>
      <w:r>
        <w:rPr>
          <w:rFonts w:hint="eastAsia" w:ascii="仿宋_GB2312" w:hAnsi="仿宋_GB2312" w:eastAsia="仿宋_GB2312" w:cs="仿宋_GB2312"/>
          <w:b w:val="0"/>
          <w:bCs/>
          <w:spacing w:val="0"/>
          <w:sz w:val="32"/>
          <w:szCs w:val="32"/>
        </w:rPr>
        <w:t>建设畅达高效综合交通网络</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ind w:firstLine="648" w:firstLineChars="200"/>
        <w:jc w:val="left"/>
        <w:rPr>
          <w:rFonts w:hint="eastAsia" w:ascii="仿宋_GB2312" w:hAnsi="仿宋_GB2312" w:eastAsia="仿宋_GB2312" w:cs="仿宋_GB2312"/>
          <w:b w:val="0"/>
          <w:bCs w:val="0"/>
          <w:spacing w:val="0"/>
          <w:sz w:val="32"/>
          <w:szCs w:val="32"/>
        </w:rPr>
      </w:pPr>
      <w:r>
        <w:rPr>
          <w:rFonts w:hint="eastAsia" w:ascii="仿宋_GB2312" w:hAnsi="仿宋_GB2312" w:eastAsia="仿宋_GB2312" w:cs="仿宋_GB2312"/>
          <w:b w:val="0"/>
          <w:bCs w:val="0"/>
          <w:spacing w:val="0"/>
          <w:sz w:val="32"/>
          <w:szCs w:val="32"/>
        </w:rPr>
        <w:t>以补短板、优结构、提品质为重点，加快构建互联互通综合交通网络，重点实施铁路补短工程、高速成网工程、市县快连工程、环城绕越工程、瓶颈疏通工程、乡村联网工程、提质升级工程、通江达海工程、通航提速工程、交旅融合工程等十大工程。</w:t>
      </w:r>
      <w:r>
        <w:rPr>
          <w:rFonts w:hint="eastAsia" w:ascii="仿宋_GB2312" w:hAnsi="仿宋_GB2312" w:eastAsia="仿宋_GB2312" w:cs="仿宋_GB2312"/>
          <w:b w:val="0"/>
          <w:bCs w:val="0"/>
          <w:spacing w:val="0"/>
          <w:kern w:val="0"/>
          <w:sz w:val="32"/>
          <w:szCs w:val="32"/>
          <w:lang w:val="en-US" w:eastAsia="zh-CN" w:bidi="ar"/>
        </w:rPr>
        <w:t>巩固南北向京广铁路运输通道优势，以填补驻马店东西向铁路空白为抓手，提升驻马店西站枢纽能级，强化与关中城市群、长三角城市群的便捷联系。谋划研究南阳经驻马店至阜阳高速铁路、濮阳至潢川高铁（驻马店段）、月山至随州铁路（驻马店段）、驻马店经周口至商丘高速铁路（驻马店段）、郑州至信阳城际铁路（驻马店段）项目。“十四五”期间，全面建成安罗高速上蔡至罗山段、许昌至信阳高速驻马店段，构建大能力的南北运输通道，加强与中原城市群节点间城际联系。建成沈丘至卢氏高速公路沈丘至遂平段。适时推进确山至阜南（豫皖界）高速公路、上蔡至淮滨高速公路、沈丘至舞阳高速和沿淮高速公路项目前期工作。推进建设新阳高速与兴业大道、嫘祖大道交叉处等互通式立交，提高中心城区快速外联效率。到2025年，计划完成投资约188亿元，新增通车里程288公里，通车里程达到870公里，全面推进“六纵八横”的高速公路网建设，实现“县域通双高速”，高速公路乡镇覆盖率达到95%。</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afterAutospacing="0" w:line="580" w:lineRule="exact"/>
        <w:jc w:val="center"/>
        <w:rPr>
          <w:rFonts w:hint="eastAsia" w:ascii="仿宋_GB2312" w:hAnsi="仿宋_GB2312" w:eastAsia="仿宋_GB2312" w:cs="仿宋_GB2312"/>
          <w:b w:val="0"/>
          <w:bCs/>
          <w:spacing w:val="0"/>
          <w:sz w:val="32"/>
          <w:szCs w:val="32"/>
        </w:rPr>
      </w:pPr>
      <w:r>
        <w:rPr>
          <w:rFonts w:hint="eastAsia" w:ascii="仿宋_GB2312" w:hAnsi="仿宋_GB2312" w:eastAsia="仿宋_GB2312" w:cs="仿宋_GB2312"/>
          <w:b w:val="0"/>
          <w:bCs/>
          <w:spacing w:val="0"/>
          <w:sz w:val="32"/>
          <w:szCs w:val="32"/>
          <w:lang w:eastAsia="zh-CN"/>
        </w:rPr>
        <w:t>第三节</w:t>
      </w:r>
      <w:r>
        <w:rPr>
          <w:rFonts w:hint="eastAsia" w:ascii="仿宋_GB2312" w:hAnsi="仿宋_GB2312" w:eastAsia="仿宋_GB2312" w:cs="仿宋_GB2312"/>
          <w:b w:val="0"/>
          <w:bCs/>
          <w:spacing w:val="0"/>
          <w:sz w:val="32"/>
          <w:szCs w:val="32"/>
        </w:rPr>
        <w:t>培育高效融合交通枢纽经济</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ind w:firstLine="648" w:firstLineChars="200"/>
        <w:jc w:val="left"/>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构建高效一体枢纽体系，推动枢纽能级提升。围绕强化枢纽经济发展基础的目标，以建设综合交通枢纽为抓手，构建多层级的客货运枢纽体系，进一步完善交通枢纽功能，提升交通枢纽能级，助力豫南枢纽经济协同发展区建设。</w:t>
      </w:r>
      <w:r>
        <w:rPr>
          <w:rFonts w:hint="eastAsia" w:ascii="仿宋_GB2312" w:hAnsi="仿宋_GB2312" w:eastAsia="仿宋_GB2312" w:cs="仿宋_GB2312"/>
          <w:spacing w:val="0"/>
          <w:kern w:val="0"/>
          <w:sz w:val="32"/>
          <w:szCs w:val="32"/>
          <w:lang w:val="en-US" w:eastAsia="zh-CN" w:bidi="ar"/>
        </w:rPr>
        <w:t>围绕客运“零换乘”目标，加强公路与铁路、城市公交相衔接的区域性综合客运枢纽建设，构建由综合客运枢纽、普通客运枢纽和城市公交枢纽相辅相成的枢纽体系，通过枢纽节点紧密衔接骨干交通网，形成“客运枢纽—集散客运站—客运点”三级布局。建设多元融合枢纽综合体，促进枢纽与城市融合发展。依托驻马店西站完善枢纽功能，建成集综合客运、交通转换、商贸服务等功能为一体的交通综合体，实现站城一体。加强枢纽衔接，以“立体开发、便捷换乘”为原则，充分利用和挖掘地下空间资源，建设地下多维换乘空间，实现综合交通高效换乘。以驻马店西站西广场建设开发为契机，重视区块土地的综合开发与高效整合，注重交通功能与城市土地功能的良好协调，紧密围绕车站配置商务办公和公共服务设施，实现站城高效融合，构建以驻马店西站为中心的城市综合功能区。</w:t>
      </w:r>
    </w:p>
    <w:tbl>
      <w:tblPr>
        <w:tblStyle w:val="7"/>
        <w:tblW w:w="9060"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9060"/>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48" w:hRule="atLeast"/>
        </w:trPr>
        <w:tc>
          <w:tcPr>
            <w:tcW w:w="9060" w:type="dxa"/>
            <w:tcBorders>
              <w:top w:val="single" w:color="000000" w:sz="8" w:space="0"/>
              <w:left w:val="single" w:color="000000" w:sz="8" w:space="0"/>
              <w:bottom w:val="single" w:color="000000" w:sz="8" w:space="0"/>
              <w:right w:val="single" w:color="000000" w:sz="8" w:space="0"/>
            </w:tcBorders>
            <w:shd w:val="clear" w:color="auto" w:fill="auto"/>
            <w:tcMar>
              <w:top w:w="0" w:type="dxa"/>
              <w:left w:w="108" w:type="dxa"/>
              <w:bottom w:w="0" w:type="dxa"/>
              <w:right w:w="108"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420"/>
              <w:jc w:val="center"/>
              <w:textAlignment w:val="baseline"/>
              <w:rPr>
                <w:rFonts w:hint="eastAsia" w:ascii="仿宋_GB2312" w:hAnsi="仿宋_GB2312" w:eastAsia="仿宋_GB2312" w:cs="仿宋_GB2312"/>
                <w:spacing w:val="0"/>
                <w:sz w:val="32"/>
                <w:szCs w:val="32"/>
              </w:rPr>
            </w:pPr>
            <w:r>
              <w:rPr>
                <w:rFonts w:hint="eastAsia" w:ascii="仿宋_GB2312" w:hAnsi="仿宋_GB2312" w:eastAsia="仿宋_GB2312" w:cs="仿宋_GB2312"/>
                <w:b/>
                <w:i w:val="0"/>
                <w:caps w:val="0"/>
                <w:color w:val="333333"/>
                <w:spacing w:val="0"/>
                <w:sz w:val="32"/>
                <w:szCs w:val="32"/>
                <w:shd w:val="clear" w:fill="FFFFFF"/>
                <w:vertAlign w:val="baseline"/>
                <w:lang w:eastAsia="zh-CN"/>
              </w:rPr>
              <w:t>专栏七、</w:t>
            </w:r>
            <w:r>
              <w:rPr>
                <w:rFonts w:hint="eastAsia" w:ascii="仿宋_GB2312" w:hAnsi="仿宋_GB2312" w:eastAsia="仿宋_GB2312" w:cs="仿宋_GB2312"/>
                <w:b/>
                <w:i w:val="0"/>
                <w:caps w:val="0"/>
                <w:color w:val="333333"/>
                <w:spacing w:val="0"/>
                <w:sz w:val="32"/>
                <w:szCs w:val="32"/>
                <w:shd w:val="clear" w:fill="FFFFFF"/>
                <w:vertAlign w:val="baseline"/>
              </w:rPr>
              <w:t>现代综合交通体系重大工程</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756" w:hRule="atLeast"/>
        </w:trPr>
        <w:tc>
          <w:tcPr>
            <w:tcW w:w="9060" w:type="dxa"/>
            <w:tcBorders>
              <w:top w:val="nil"/>
              <w:left w:val="single" w:color="000000" w:sz="8" w:space="0"/>
              <w:bottom w:val="single" w:color="000000" w:sz="8" w:space="0"/>
              <w:right w:val="single" w:color="000000" w:sz="8" w:space="0"/>
            </w:tcBorders>
            <w:shd w:val="clear" w:color="auto" w:fill="auto"/>
            <w:tcMar>
              <w:top w:w="0" w:type="dxa"/>
              <w:left w:w="108" w:type="dxa"/>
              <w:bottom w:w="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kern w:val="0"/>
                <w:sz w:val="32"/>
                <w:szCs w:val="32"/>
                <w:lang w:val="en-US" w:eastAsia="zh-CN" w:bidi="ar"/>
              </w:rPr>
              <w:t>1、“十四五”期间，计划投资约188亿元，新增通车里程288公里，全面推进“六纵八横”的高速公路网建设，通车里程达到870公里，实现“县域通双高速”目标。</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2"/>
                <w:szCs w:val="32"/>
              </w:rPr>
            </w:pPr>
            <w:r>
              <w:rPr>
                <w:rFonts w:hint="eastAsia" w:ascii="仿宋_GB2312" w:hAnsi="仿宋_GB2312" w:eastAsia="仿宋_GB2312" w:cs="仿宋_GB2312"/>
                <w:b w:val="0"/>
                <w:i w:val="0"/>
                <w:caps w:val="0"/>
                <w:color w:val="333333"/>
                <w:spacing w:val="0"/>
                <w:sz w:val="32"/>
                <w:szCs w:val="32"/>
                <w:shd w:val="clear" w:fill="FFFFFF"/>
                <w:vertAlign w:val="baseline"/>
                <w:lang w:val="en-US" w:eastAsia="zh-CN"/>
              </w:rPr>
              <w:t>2</w:t>
            </w:r>
            <w:r>
              <w:rPr>
                <w:rFonts w:hint="eastAsia" w:ascii="仿宋_GB2312" w:hAnsi="仿宋_GB2312" w:eastAsia="仿宋_GB2312" w:cs="仿宋_GB2312"/>
                <w:b w:val="0"/>
                <w:i w:val="0"/>
                <w:caps w:val="0"/>
                <w:color w:val="333333"/>
                <w:spacing w:val="0"/>
                <w:sz w:val="32"/>
                <w:szCs w:val="32"/>
                <w:shd w:val="clear" w:fill="FFFFFF"/>
                <w:vertAlign w:val="baseline"/>
              </w:rPr>
              <w:t>“</w:t>
            </w:r>
            <w:r>
              <w:rPr>
                <w:rFonts w:hint="eastAsia" w:ascii="仿宋_GB2312" w:hAnsi="仿宋_GB2312" w:eastAsia="仿宋_GB2312" w:cs="仿宋_GB2312"/>
                <w:spacing w:val="0"/>
                <w:kern w:val="0"/>
                <w:sz w:val="32"/>
                <w:szCs w:val="32"/>
                <w:lang w:val="en-US" w:eastAsia="zh-CN" w:bidi="ar"/>
              </w:rPr>
              <w:t>五年计划投资376.42亿元，规划建设普通干线公路重点建设项目里程1007.89公里。</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2"/>
                <w:szCs w:val="32"/>
              </w:rPr>
            </w:pPr>
            <w:r>
              <w:rPr>
                <w:rFonts w:hint="eastAsia" w:ascii="仿宋_GB2312" w:hAnsi="仿宋_GB2312" w:eastAsia="仿宋_GB2312" w:cs="仿宋_GB2312"/>
                <w:b w:val="0"/>
                <w:i w:val="0"/>
                <w:caps w:val="0"/>
                <w:color w:val="333333"/>
                <w:spacing w:val="0"/>
                <w:sz w:val="32"/>
                <w:szCs w:val="32"/>
                <w:shd w:val="clear" w:fill="FFFFFF"/>
                <w:vertAlign w:val="baseline"/>
                <w:lang w:val="en-US" w:eastAsia="zh-CN"/>
              </w:rPr>
              <w:t>3、</w:t>
            </w:r>
            <w:r>
              <w:rPr>
                <w:rFonts w:hint="eastAsia" w:ascii="仿宋_GB2312" w:hAnsi="仿宋_GB2312" w:eastAsia="仿宋_GB2312" w:cs="仿宋_GB2312"/>
                <w:spacing w:val="0"/>
                <w:kern w:val="0"/>
                <w:sz w:val="32"/>
                <w:szCs w:val="32"/>
                <w:lang w:val="en-US" w:eastAsia="zh-CN" w:bidi="ar"/>
              </w:rPr>
              <w:t>五年计划投资67.6亿元，规划新改建农村公路约3000公里，实施桥梁改造约10000延米，实施公路安防工程约1000公里。</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kern w:val="0"/>
                <w:sz w:val="32"/>
                <w:szCs w:val="32"/>
                <w:lang w:val="en-US" w:eastAsia="zh-CN" w:bidi="ar"/>
              </w:rPr>
            </w:pPr>
            <w:r>
              <w:rPr>
                <w:rFonts w:hint="eastAsia" w:ascii="仿宋_GB2312" w:hAnsi="仿宋_GB2312" w:eastAsia="仿宋_GB2312" w:cs="仿宋_GB2312"/>
                <w:b w:val="0"/>
                <w:i w:val="0"/>
                <w:caps w:val="0"/>
                <w:color w:val="333333"/>
                <w:spacing w:val="0"/>
                <w:sz w:val="32"/>
                <w:szCs w:val="32"/>
                <w:shd w:val="clear" w:fill="FFFFFF"/>
                <w:vertAlign w:val="baseline"/>
                <w:lang w:val="en-US" w:eastAsia="zh-CN"/>
              </w:rPr>
              <w:t>4、</w:t>
            </w:r>
            <w:r>
              <w:rPr>
                <w:rFonts w:hint="eastAsia" w:ascii="仿宋_GB2312" w:hAnsi="仿宋_GB2312" w:eastAsia="仿宋_GB2312" w:cs="仿宋_GB2312"/>
                <w:spacing w:val="0"/>
                <w:kern w:val="0"/>
                <w:sz w:val="32"/>
                <w:szCs w:val="32"/>
                <w:lang w:val="en-US" w:eastAsia="zh-CN" w:bidi="ar"/>
              </w:rPr>
              <w:t>规划新改建旅游公路342公里，总投资47.6亿元。其中“快进”旅游公路项目37条，里程约236公里，投资约19.6亿元；“慢游”旅游公路项目5条，里程约106公里，投资约28亿元。</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kern w:val="0"/>
                <w:sz w:val="32"/>
                <w:szCs w:val="32"/>
                <w:lang w:val="en-US" w:eastAsia="zh-CN" w:bidi="ar"/>
              </w:rPr>
              <w:t>4、五年计划投资约20亿元，重点规划新改建客运站14个，五年计划投资约90亿元，规划新改建/续建公铁联运物流园2个</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val="en-US" w:eastAsia="zh-CN"/>
              </w:rPr>
              <w:t>5、</w:t>
            </w:r>
            <w:r>
              <w:rPr>
                <w:rFonts w:hint="eastAsia" w:ascii="仿宋_GB2312" w:hAnsi="仿宋_GB2312" w:eastAsia="仿宋_GB2312" w:cs="仿宋_GB2312"/>
                <w:spacing w:val="0"/>
                <w:kern w:val="0"/>
                <w:sz w:val="32"/>
                <w:szCs w:val="32"/>
                <w:lang w:val="en-US" w:eastAsia="zh-CN" w:bidi="ar"/>
              </w:rPr>
              <w:t>五年计划投资约36亿元，新改建省道223确山县城至明港机场段一级公路1条，新建中石化驻马店分公司油库铁路专用线1条。</w:t>
            </w:r>
          </w:p>
        </w:tc>
      </w:tr>
    </w:tbl>
    <w:p>
      <w:pPr>
        <w:pStyle w:val="2"/>
        <w:keepNext w:val="0"/>
        <w:keepLines w:val="0"/>
        <w:pageBreakBefore w:val="0"/>
        <w:kinsoku/>
        <w:wordWrap/>
        <w:overflowPunct/>
        <w:topLinePunct w:val="0"/>
        <w:autoSpaceDE/>
        <w:autoSpaceDN/>
        <w:bidi w:val="0"/>
        <w:adjustRightInd/>
        <w:snapToGrid/>
        <w:spacing w:beforeAutospacing="0" w:afterAutospacing="0" w:line="580" w:lineRule="exact"/>
        <w:ind w:left="0" w:right="0" w:firstLine="0" w:firstLineChars="0"/>
        <w:jc w:val="center"/>
        <w:rPr>
          <w:rFonts w:hint="eastAsia" w:ascii="仿宋_GB2312" w:hAnsi="仿宋_GB2312" w:eastAsia="仿宋_GB2312" w:cs="仿宋_GB2312"/>
          <w:b/>
          <w:bCs/>
          <w:spacing w:val="0"/>
          <w:sz w:val="32"/>
          <w:szCs w:val="32"/>
        </w:rPr>
      </w:pPr>
    </w:p>
    <w:p>
      <w:pPr>
        <w:pStyle w:val="2"/>
        <w:keepNext w:val="0"/>
        <w:keepLines w:val="0"/>
        <w:pageBreakBefore w:val="0"/>
        <w:kinsoku/>
        <w:wordWrap/>
        <w:overflowPunct/>
        <w:topLinePunct w:val="0"/>
        <w:autoSpaceDE/>
        <w:autoSpaceDN/>
        <w:bidi w:val="0"/>
        <w:adjustRightInd/>
        <w:snapToGrid/>
        <w:spacing w:beforeAutospacing="0" w:afterAutospacing="0" w:line="580" w:lineRule="exact"/>
        <w:ind w:left="0" w:right="0" w:firstLine="0" w:firstLineChars="0"/>
        <w:jc w:val="center"/>
        <w:rPr>
          <w:rFonts w:hint="eastAsia" w:ascii="仿宋_GB2312" w:hAnsi="仿宋_GB2312" w:eastAsia="仿宋_GB2312" w:cs="仿宋_GB2312"/>
          <w:b/>
          <w:bCs/>
          <w:spacing w:val="0"/>
          <w:sz w:val="32"/>
          <w:szCs w:val="32"/>
        </w:rPr>
      </w:pP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center"/>
        <w:rPr>
          <w:rFonts w:hint="eastAsia"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第</w:t>
      </w:r>
      <w:r>
        <w:rPr>
          <w:rFonts w:hint="eastAsia" w:ascii="仿宋_GB2312" w:hAnsi="仿宋_GB2312" w:eastAsia="仿宋_GB2312" w:cs="仿宋_GB2312"/>
          <w:b/>
          <w:bCs/>
          <w:spacing w:val="0"/>
          <w:sz w:val="32"/>
          <w:szCs w:val="32"/>
          <w:lang w:eastAsia="zh-CN"/>
        </w:rPr>
        <w:t>十一</w:t>
      </w:r>
      <w:r>
        <w:rPr>
          <w:rFonts w:hint="eastAsia" w:ascii="仿宋_GB2312" w:hAnsi="仿宋_GB2312" w:eastAsia="仿宋_GB2312" w:cs="仿宋_GB2312"/>
          <w:b/>
          <w:bCs/>
          <w:spacing w:val="0"/>
          <w:sz w:val="32"/>
          <w:szCs w:val="32"/>
        </w:rPr>
        <w:t>章</w:t>
      </w:r>
      <w:r>
        <w:rPr>
          <w:rFonts w:hint="eastAsia" w:ascii="仿宋_GB2312" w:hAnsi="仿宋_GB2312" w:eastAsia="仿宋_GB2312" w:cs="仿宋_GB2312"/>
          <w:b/>
          <w:bCs/>
          <w:spacing w:val="0"/>
          <w:w w:val="150"/>
          <w:sz w:val="32"/>
          <w:szCs w:val="32"/>
        </w:rPr>
        <w:t xml:space="preserve"> </w:t>
      </w:r>
      <w:r>
        <w:rPr>
          <w:rFonts w:hint="eastAsia" w:ascii="仿宋_GB2312" w:hAnsi="仿宋_GB2312" w:eastAsia="仿宋_GB2312" w:cs="仿宋_GB2312"/>
          <w:b/>
          <w:bCs/>
          <w:spacing w:val="0"/>
          <w:kern w:val="0"/>
          <w:sz w:val="32"/>
          <w:szCs w:val="32"/>
          <w:lang w:val="en-US" w:eastAsia="zh-CN" w:bidi="ar"/>
        </w:rPr>
        <w:t>践行“两山”理念 ，创建国家生态文明建设示范市</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center"/>
        <w:rPr>
          <w:rFonts w:hint="eastAsia" w:ascii="仿宋_GB2312" w:hAnsi="仿宋_GB2312" w:eastAsia="仿宋_GB2312" w:cs="仿宋_GB2312"/>
          <w:spacing w:val="0"/>
          <w:sz w:val="32"/>
          <w:szCs w:val="32"/>
          <w:lang w:val="en-US"/>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shd w:val="clear" w:fill="FFFFFF"/>
          <w:vertAlign w:val="baseline"/>
        </w:rPr>
        <w:t>坚持共同抓好大保护、协同推进大治理，强化上下游、干支流、左右岸联动，统筹推进山水林田湖草沙综合治理、系统治理、源头治理，深入实施大规模国土绿化和森林驻马店建设行动，推行“林长制”，提升桐柏-大别山山地生态屏障功能，加快生态廊道建设，完善自然保护地体系，实现山区森林化、平原林网化、城市园林化、乡村林果化、廊道林荫化、庭院花园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baseline"/>
        <w:rPr>
          <w:rFonts w:hint="eastAsia" w:ascii="仿宋_GB2312" w:hAnsi="仿宋_GB2312" w:eastAsia="仿宋_GB2312" w:cs="仿宋_GB2312"/>
          <w:b w:val="0"/>
          <w:bCs/>
          <w:i w:val="0"/>
          <w:caps w:val="0"/>
          <w:color w:val="000000"/>
          <w:spacing w:val="0"/>
          <w:sz w:val="32"/>
          <w:szCs w:val="32"/>
        </w:rPr>
      </w:pPr>
      <w:r>
        <w:rPr>
          <w:rFonts w:hint="eastAsia" w:ascii="仿宋_GB2312" w:hAnsi="仿宋_GB2312" w:eastAsia="仿宋_GB2312" w:cs="仿宋_GB2312"/>
          <w:b w:val="0"/>
          <w:bCs/>
          <w:i w:val="0"/>
          <w:caps w:val="0"/>
          <w:color w:val="000000"/>
          <w:spacing w:val="0"/>
          <w:sz w:val="32"/>
          <w:szCs w:val="32"/>
          <w:shd w:val="clear" w:fill="FFFFFF"/>
          <w:vertAlign w:val="baseline"/>
        </w:rPr>
        <w:t>第一节强化山地生态屏障功能</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shd w:val="clear" w:fill="FFFFFF"/>
          <w:vertAlign w:val="baseline"/>
        </w:rPr>
        <w:t>全面保护山区天然林资源，因地制宜实施封山育林和退耕还林还草，优化调整树种结构和林业产业结构，加强森林质量提升和野生动植物栖息地生境保护恢复，提升生态修复型人工影响天气水平，提高山地生态系统自我修复能力。推进桐柏-大别山区退化林修复和退化湿地恢复，加强混交林培育和低产经济林改造。积极发展林下经济、优质林果、森林旅游等产业。提升西部山地生态障功能，完善提升淮河生态廊道，加快洪汝河生态廊道建设，提升平原生态涵养区，构建生态空间保护骨干网络。推进自然保护区、风景名胜区、湿地公园、森林公园等自然保护地建设，保护自然生态系统的原真性、完整性和生物多样性，完善城市生态系统，夯实生态空间保护节点支撑。到2025年完成造林41.33万亩，森林覆盖率（或林木覆盖率）达到35.21%，2个县完成国家森林城市、3个县省级森林城市创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center"/>
        <w:textAlignment w:val="baseline"/>
        <w:rPr>
          <w:rFonts w:hint="eastAsia" w:ascii="仿宋_GB2312" w:hAnsi="仿宋_GB2312" w:eastAsia="仿宋_GB2312" w:cs="仿宋_GB2312"/>
          <w:b w:val="0"/>
          <w:bCs/>
          <w:i w:val="0"/>
          <w:caps w:val="0"/>
          <w:color w:val="000000"/>
          <w:spacing w:val="0"/>
          <w:sz w:val="32"/>
          <w:szCs w:val="32"/>
        </w:rPr>
      </w:pPr>
      <w:r>
        <w:rPr>
          <w:rFonts w:hint="eastAsia" w:ascii="仿宋_GB2312" w:hAnsi="仿宋_GB2312" w:eastAsia="仿宋_GB2312" w:cs="仿宋_GB2312"/>
          <w:b w:val="0"/>
          <w:bCs/>
          <w:i w:val="0"/>
          <w:caps w:val="0"/>
          <w:color w:val="000000"/>
          <w:spacing w:val="0"/>
          <w:sz w:val="32"/>
          <w:szCs w:val="32"/>
          <w:shd w:val="clear" w:fill="FFFFFF"/>
          <w:vertAlign w:val="baseline"/>
        </w:rPr>
        <w:t>第二节构筑复合型生态廊道</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shd w:val="clear" w:fill="FFFFFF"/>
          <w:vertAlign w:val="baseline"/>
        </w:rPr>
        <w:t>以生态功能恢复和文化资源融合开发为重点，统筹推进山水林田湖草一体化保护修复和森林、湿地、流域、农田、城市五大生态系统，着力构建“一湖两区三带多廊道”总体布局，提升生态系统质量和稳定性。实施宿鸭湖湿地生态恢复和修复治理，以淮河干流为主线，统筹开展沿淮河、洪河、汝河生态保育带建设工作。依托洪汝河干支流水系，系统推进中游植被封育和矿山环境整治、下游河道综合治理、受水区农田防护林建设，高标准建设左右岸统筹、山水河林路一体、文化自然融合、沿线全景贯通的复合型生态廊道，打造生态空间保护的核心轴带。以流域综合治理和生态价值转化为重点，全面保护和恢复湿地资源，拓展生态保育带休闲观光、康养健身等功能，打造淮河流域生态文明建设示范带。统筹推进主要生态廊道有机连通，串联沿线及周边城市生态隔离带、农田绿网和各类自然保护地，开展廊道交汇点示范打造。健全生态保护和修复制度，完善市场化、多元化生态保护补偿制度。</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baseline"/>
        <w:rPr>
          <w:rFonts w:hint="eastAsia" w:ascii="仿宋_GB2312" w:hAnsi="仿宋_GB2312" w:eastAsia="仿宋_GB2312" w:cs="仿宋_GB2312"/>
          <w:b w:val="0"/>
          <w:bCs/>
          <w:i w:val="0"/>
          <w:caps w:val="0"/>
          <w:color w:val="000000"/>
          <w:spacing w:val="0"/>
          <w:sz w:val="32"/>
          <w:szCs w:val="32"/>
        </w:rPr>
      </w:pPr>
      <w:r>
        <w:rPr>
          <w:rFonts w:hint="eastAsia" w:ascii="仿宋_GB2312" w:hAnsi="仿宋_GB2312" w:eastAsia="仿宋_GB2312" w:cs="仿宋_GB2312"/>
          <w:b w:val="0"/>
          <w:bCs/>
          <w:i w:val="0"/>
          <w:caps w:val="0"/>
          <w:color w:val="000000"/>
          <w:spacing w:val="0"/>
          <w:sz w:val="32"/>
          <w:szCs w:val="32"/>
          <w:shd w:val="clear" w:fill="FFFFFF"/>
          <w:vertAlign w:val="baseline"/>
        </w:rPr>
        <w:t>第三节加强自然保护地建设</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rPr>
      </w:pPr>
      <w:r>
        <w:rPr>
          <w:rFonts w:hint="eastAsia" w:ascii="仿宋_GB2312" w:hAnsi="仿宋_GB2312" w:eastAsia="仿宋_GB2312" w:cs="仿宋_GB2312"/>
          <w:b w:val="0"/>
          <w:i w:val="0"/>
          <w:caps w:val="0"/>
          <w:color w:val="000000"/>
          <w:spacing w:val="0"/>
          <w:sz w:val="32"/>
          <w:szCs w:val="32"/>
          <w:shd w:val="clear" w:fill="FFFFFF"/>
          <w:vertAlign w:val="baseline"/>
        </w:rPr>
        <w:t>整合保护地区域交叉重叠空间，归并优化相邻自然保护地，明确功能定位和保护修复重点，逐步形成以国家公园为主体、自然保护区为基础、各类自然公园为补充的自然保护地体系。创新自然保护地建设发展机制，分类分区开展生态系统修复，有序实施核心保护区内原住居民异地搬迁和退耕还林还草还湖，加强生物多样性生态红线管控和野生动植物拯救保护。实施宿鸭湖湿地生态恢复和修复治理工程，开展退耕还湿、退养还滩、扩水增湿、生态补水，维护湿地系统的完整性和稳定性，湿地面积保持87.9万亩不减少，所有县区实现自然保护区、森林公园、湿地公园或效野公园全覆盖。加强各类自然保护地监测监管，完善保护管理基础设施。</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0" w:firstLineChars="0"/>
        <w:jc w:val="center"/>
        <w:textAlignment w:val="baseline"/>
        <w:rPr>
          <w:rFonts w:hint="eastAsia" w:ascii="仿宋_GB2312" w:hAnsi="仿宋_GB2312" w:eastAsia="仿宋_GB2312" w:cs="仿宋_GB2312"/>
          <w:b w:val="0"/>
          <w:bCs/>
          <w:i w:val="0"/>
          <w:caps w:val="0"/>
          <w:color w:val="000000"/>
          <w:spacing w:val="0"/>
          <w:sz w:val="32"/>
          <w:szCs w:val="32"/>
        </w:rPr>
      </w:pPr>
      <w:r>
        <w:rPr>
          <w:rFonts w:hint="eastAsia" w:ascii="仿宋_GB2312" w:hAnsi="仿宋_GB2312" w:eastAsia="仿宋_GB2312" w:cs="仿宋_GB2312"/>
          <w:b w:val="0"/>
          <w:bCs/>
          <w:i w:val="0"/>
          <w:caps w:val="0"/>
          <w:color w:val="000000"/>
          <w:spacing w:val="0"/>
          <w:sz w:val="32"/>
          <w:szCs w:val="32"/>
          <w:shd w:val="clear" w:fill="FFFFFF"/>
          <w:vertAlign w:val="baseline"/>
        </w:rPr>
        <w:t>第四节加强国土空间开发保护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left="0" w:right="0" w:firstLine="648" w:firstLineChars="200"/>
        <w:jc w:val="both"/>
        <w:textAlignment w:val="baseline"/>
        <w:rPr>
          <w:rFonts w:hint="eastAsia" w:ascii="仿宋_GB2312" w:hAnsi="仿宋_GB2312" w:eastAsia="仿宋_GB2312" w:cs="仿宋_GB2312"/>
          <w:b w:val="0"/>
          <w:i w:val="0"/>
          <w:caps w:val="0"/>
          <w:color w:val="000000"/>
          <w:spacing w:val="0"/>
          <w:sz w:val="32"/>
          <w:szCs w:val="32"/>
          <w:shd w:val="clear" w:fill="FFFFFF"/>
          <w:vertAlign w:val="baseline"/>
        </w:rPr>
      </w:pPr>
      <w:r>
        <w:rPr>
          <w:rFonts w:hint="eastAsia" w:ascii="仿宋_GB2312" w:hAnsi="仿宋_GB2312" w:eastAsia="仿宋_GB2312" w:cs="仿宋_GB2312"/>
          <w:b w:val="0"/>
          <w:i w:val="0"/>
          <w:caps w:val="0"/>
          <w:color w:val="000000"/>
          <w:spacing w:val="0"/>
          <w:sz w:val="32"/>
          <w:szCs w:val="32"/>
          <w:shd w:val="clear" w:fill="FFFFFF"/>
          <w:vertAlign w:val="baseline"/>
        </w:rPr>
        <w:t>完善落实主体功能区战略，建立国土空间规划体系，统筹布局生态、农业、城镇等功能空间，科学划定生态保护红线、永久基本农田、城镇开发边界等空间管控边界。坚持山水林田湖草生命共同体理念，强化国土空间规划基础性作用，转变国土空间开发保护方式，分区分类实施国土空间用途管制，推动空间治理由指标管控向质量管控和功能管控转变。推进国土空间基础信息平台建设，建立健全国土空间规划动态监测、评估预警和实施监管机制。</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8520" w:type="dxa"/>
            <w:noWrap w:val="0"/>
            <w:vAlign w:val="top"/>
          </w:tcPr>
          <w:p>
            <w:pPr>
              <w:keepNext w:val="0"/>
              <w:keepLines w:val="0"/>
              <w:pageBreakBefore w:val="0"/>
              <w:kinsoku/>
              <w:wordWrap/>
              <w:overflowPunct/>
              <w:topLinePunct w:val="0"/>
              <w:autoSpaceDE/>
              <w:autoSpaceDN/>
              <w:bidi w:val="0"/>
              <w:adjustRightInd/>
              <w:snapToGrid/>
              <w:spacing w:afterAutospacing="0" w:line="580" w:lineRule="exact"/>
              <w:jc w:val="center"/>
              <w:rPr>
                <w:rFonts w:hint="eastAsia" w:ascii="仿宋_GB2312" w:hAnsi="仿宋_GB2312" w:eastAsia="仿宋_GB2312" w:cs="仿宋_GB2312"/>
                <w:spacing w:val="0"/>
                <w:sz w:val="32"/>
                <w:szCs w:val="32"/>
                <w:vertAlign w:val="baseline"/>
                <w:lang w:eastAsia="zh-CN"/>
              </w:rPr>
            </w:pPr>
            <w:r>
              <w:rPr>
                <w:rFonts w:hint="eastAsia" w:ascii="仿宋_GB2312" w:hAnsi="仿宋_GB2312" w:eastAsia="仿宋_GB2312" w:cs="仿宋_GB2312"/>
                <w:b/>
                <w:bCs/>
                <w:spacing w:val="0"/>
                <w:sz w:val="32"/>
                <w:szCs w:val="32"/>
                <w:vertAlign w:val="baseline"/>
                <w:lang w:eastAsia="zh-CN"/>
              </w:rPr>
              <w:t>专栏八、生态文明建设重大工程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5" w:hRule="atLeast"/>
        </w:trPr>
        <w:tc>
          <w:tcPr>
            <w:tcW w:w="8520"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kern w:val="0"/>
                <w:sz w:val="32"/>
                <w:szCs w:val="32"/>
                <w:lang w:val="en-US" w:eastAsia="zh-CN" w:bidi="ar"/>
              </w:rPr>
              <w:t>1、围绕生态制度、生态安全、生态空间、生态经济、生态生活、生态文化六个方面提出了具体可行的建设任务，力争在2025年创建成为国家生态文明建设示范市，并通过10年左右的努力，整体形成以高水平保护推进高质量发展的绿色发展模式，努力争当践行“两山”理念的样板地、模范城。</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val="en-US" w:eastAsia="zh-CN"/>
              </w:rPr>
              <w:t>2、</w:t>
            </w:r>
            <w:r>
              <w:rPr>
                <w:rFonts w:hint="eastAsia" w:ascii="仿宋_GB2312" w:hAnsi="仿宋_GB2312" w:eastAsia="仿宋_GB2312" w:cs="仿宋_GB2312"/>
                <w:spacing w:val="0"/>
                <w:kern w:val="0"/>
                <w:sz w:val="32"/>
                <w:szCs w:val="32"/>
                <w:lang w:val="en-US" w:eastAsia="zh-CN" w:bidi="ar"/>
              </w:rPr>
              <w:t>建设6处省级湿地公园，总面积6288.61hm</w:t>
            </w:r>
            <w:r>
              <w:rPr>
                <w:rFonts w:hint="eastAsia" w:ascii="仿宋_GB2312" w:hAnsi="仿宋_GB2312" w:eastAsia="仿宋_GB2312" w:cs="仿宋_GB2312"/>
                <w:spacing w:val="0"/>
                <w:kern w:val="0"/>
                <w:sz w:val="32"/>
                <w:szCs w:val="32"/>
                <w:vertAlign w:val="superscript"/>
                <w:lang w:val="en-US" w:eastAsia="zh-CN" w:bidi="ar"/>
              </w:rPr>
              <w:t>2</w:t>
            </w:r>
            <w:r>
              <w:rPr>
                <w:rFonts w:hint="eastAsia" w:ascii="仿宋_GB2312" w:hAnsi="仿宋_GB2312" w:eastAsia="仿宋_GB2312" w:cs="仿宋_GB2312"/>
                <w:spacing w:val="0"/>
                <w:kern w:val="0"/>
                <w:sz w:val="32"/>
                <w:szCs w:val="32"/>
                <w:lang w:val="en-US" w:eastAsia="zh-CN" w:bidi="ar"/>
              </w:rPr>
              <w:t>，包括河南确山淮河省级湿地公园、河南平舆洪清河省级湿地公园、河南新蔡洪汝河省级湿地公园、河南板桥水库省级湿地公园、河南汝南文殊河省级湿地公园和河南泌阳河省级湿地公园。</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lang w:val="en-US" w:eastAsia="zh-CN"/>
              </w:rPr>
              <w:t>3、</w:t>
            </w:r>
            <w:r>
              <w:rPr>
                <w:rFonts w:hint="eastAsia" w:ascii="仿宋_GB2312" w:hAnsi="仿宋_GB2312" w:eastAsia="仿宋_GB2312" w:cs="仿宋_GB2312"/>
                <w:spacing w:val="0"/>
                <w:kern w:val="0"/>
                <w:sz w:val="32"/>
                <w:szCs w:val="32"/>
                <w:lang w:val="en-US" w:eastAsia="zh-CN" w:bidi="ar"/>
              </w:rPr>
              <w:t>建设一批湿地可持续利用示范工程，包括练江湖水文化体验区、置地公园湿地生态区、郭楼湿地人文体验区、练江河湿地植被观赏区、开源公园湿地恢复区、人民公园湿地恢复区、双高楼农渔业生产示范区等。</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2"/>
                <w:szCs w:val="32"/>
                <w:vertAlign w:val="baseline"/>
              </w:rPr>
            </w:pPr>
            <w:r>
              <w:rPr>
                <w:rFonts w:hint="eastAsia" w:ascii="仿宋_GB2312" w:hAnsi="仿宋_GB2312" w:eastAsia="仿宋_GB2312" w:cs="仿宋_GB2312"/>
                <w:spacing w:val="0"/>
                <w:sz w:val="32"/>
                <w:szCs w:val="32"/>
                <w:lang w:val="en-US" w:eastAsia="zh-CN"/>
              </w:rPr>
              <w:t>4、实施</w:t>
            </w:r>
            <w:r>
              <w:rPr>
                <w:rFonts w:hint="eastAsia" w:ascii="仿宋_GB2312" w:hAnsi="仿宋_GB2312" w:eastAsia="仿宋_GB2312" w:cs="仿宋_GB2312"/>
                <w:spacing w:val="0"/>
                <w:kern w:val="0"/>
                <w:sz w:val="32"/>
                <w:szCs w:val="32"/>
                <w:lang w:val="en-US" w:eastAsia="zh-CN" w:bidi="ar"/>
              </w:rPr>
              <w:t>生态廊道建设工程，包括建设水系生态廊道、道路生态廊道、生物生态廊道各1处。</w:t>
            </w:r>
          </w:p>
        </w:tc>
      </w:tr>
    </w:tbl>
    <w:p>
      <w:pPr>
        <w:pStyle w:val="2"/>
        <w:keepNext w:val="0"/>
        <w:keepLines w:val="0"/>
        <w:pageBreakBefore w:val="0"/>
        <w:kinsoku/>
        <w:wordWrap/>
        <w:overflowPunct/>
        <w:topLinePunct w:val="0"/>
        <w:autoSpaceDE/>
        <w:autoSpaceDN/>
        <w:bidi w:val="0"/>
        <w:adjustRightInd/>
        <w:snapToGrid/>
        <w:spacing w:before="29" w:afterAutospacing="0" w:line="580" w:lineRule="exact"/>
        <w:ind w:left="1" w:right="1"/>
        <w:jc w:val="center"/>
        <w:rPr>
          <w:rFonts w:hint="eastAsia"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第十</w:t>
      </w:r>
      <w:r>
        <w:rPr>
          <w:rFonts w:hint="eastAsia" w:ascii="仿宋_GB2312" w:hAnsi="仿宋_GB2312" w:eastAsia="仿宋_GB2312" w:cs="仿宋_GB2312"/>
          <w:b/>
          <w:bCs/>
          <w:spacing w:val="0"/>
          <w:sz w:val="32"/>
          <w:szCs w:val="32"/>
          <w:lang w:eastAsia="zh-CN"/>
        </w:rPr>
        <w:t>二</w:t>
      </w:r>
      <w:r>
        <w:rPr>
          <w:rFonts w:hint="eastAsia" w:ascii="仿宋_GB2312" w:hAnsi="仿宋_GB2312" w:eastAsia="仿宋_GB2312" w:cs="仿宋_GB2312"/>
          <w:b/>
          <w:bCs/>
          <w:spacing w:val="0"/>
          <w:sz w:val="32"/>
          <w:szCs w:val="32"/>
        </w:rPr>
        <w:t>章</w:t>
      </w:r>
      <w:r>
        <w:rPr>
          <w:rFonts w:hint="eastAsia" w:ascii="仿宋_GB2312" w:hAnsi="仿宋_GB2312" w:eastAsia="仿宋_GB2312" w:cs="仿宋_GB2312"/>
          <w:b/>
          <w:bCs/>
          <w:spacing w:val="0"/>
          <w:sz w:val="32"/>
          <w:szCs w:val="32"/>
          <w:lang w:val="en-US" w:eastAsia="zh-CN"/>
        </w:rPr>
        <w:t xml:space="preserve">  </w:t>
      </w:r>
      <w:r>
        <w:rPr>
          <w:rFonts w:hint="eastAsia" w:ascii="仿宋_GB2312" w:hAnsi="仿宋_GB2312" w:eastAsia="仿宋_GB2312" w:cs="仿宋_GB2312"/>
          <w:b/>
          <w:bCs/>
          <w:spacing w:val="0"/>
          <w:sz w:val="32"/>
          <w:szCs w:val="32"/>
        </w:rPr>
        <w:t>优化服务供给，打造社会治理现代化示范区</w:t>
      </w:r>
    </w:p>
    <w:p>
      <w:pPr>
        <w:pStyle w:val="2"/>
        <w:keepNext w:val="0"/>
        <w:keepLines w:val="0"/>
        <w:pageBreakBefore w:val="0"/>
        <w:kinsoku/>
        <w:wordWrap/>
        <w:overflowPunct/>
        <w:topLinePunct w:val="0"/>
        <w:autoSpaceDE/>
        <w:autoSpaceDN/>
        <w:bidi w:val="0"/>
        <w:adjustRightInd/>
        <w:snapToGrid/>
        <w:spacing w:before="1" w:afterAutospacing="0" w:line="580" w:lineRule="exact"/>
        <w:ind w:left="0"/>
        <w:rPr>
          <w:rFonts w:hint="eastAsia" w:ascii="仿宋_GB2312" w:hAnsi="仿宋_GB2312" w:eastAsia="仿宋_GB2312" w:cs="仿宋_GB2312"/>
          <w:spacing w:val="0"/>
          <w:sz w:val="32"/>
          <w:szCs w:val="32"/>
        </w:rPr>
      </w:pPr>
    </w:p>
    <w:p>
      <w:pPr>
        <w:pStyle w:val="2"/>
        <w:keepNext w:val="0"/>
        <w:keepLines w:val="0"/>
        <w:pageBreakBefore w:val="0"/>
        <w:widowControl w:val="0"/>
        <w:kinsoku/>
        <w:wordWrap/>
        <w:overflowPunct/>
        <w:topLinePunct w:val="0"/>
        <w:autoSpaceDE/>
        <w:autoSpaceDN/>
        <w:bidi w:val="0"/>
        <w:adjustRightInd/>
        <w:snapToGrid/>
        <w:spacing w:afterAutospacing="0" w:line="580" w:lineRule="exact"/>
        <w:ind w:left="0" w:right="0" w:firstLine="648"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坚持在发展中保障和改善民生，不断满足人民群众日益增长的多层次、多样化公共服务需求，不断完善教育、医疗、养老等公共服务供给体系。坚持以全面深化改革推进市域治理现代化，探索具有中原特色、时代特征的市域社会治理新路径新模式，治理体系和治理能力现代化水平明显提高，成为安居乐业、社会安定的幸福城市样板。</w:t>
      </w:r>
    </w:p>
    <w:p>
      <w:pPr>
        <w:pStyle w:val="3"/>
        <w:keepNext w:val="0"/>
        <w:keepLines w:val="0"/>
        <w:pageBreakBefore w:val="0"/>
        <w:widowControl w:val="0"/>
        <w:kinsoku/>
        <w:wordWrap/>
        <w:overflowPunct/>
        <w:topLinePunct w:val="0"/>
        <w:autoSpaceDE/>
        <w:autoSpaceDN/>
        <w:bidi w:val="0"/>
        <w:adjustRightInd/>
        <w:snapToGrid/>
        <w:spacing w:afterAutospacing="0" w:line="580" w:lineRule="exact"/>
        <w:ind w:left="0" w:right="0" w:firstLine="648" w:firstLineChars="200"/>
        <w:textAlignment w:val="auto"/>
        <w:rPr>
          <w:rFonts w:hint="eastAsia" w:ascii="仿宋_GB2312" w:hAnsi="仿宋_GB2312" w:eastAsia="仿宋_GB2312" w:cs="仿宋_GB2312"/>
          <w:b w:val="0"/>
          <w:bCs w:val="0"/>
          <w:spacing w:val="0"/>
          <w:sz w:val="32"/>
          <w:szCs w:val="32"/>
        </w:rPr>
      </w:pPr>
      <w:bookmarkStart w:id="6" w:name="第一节  加快教育质量提升，增强教育服务能级"/>
      <w:bookmarkEnd w:id="6"/>
      <w:bookmarkStart w:id="7" w:name="_bookmark48"/>
      <w:bookmarkEnd w:id="7"/>
      <w:r>
        <w:rPr>
          <w:rFonts w:hint="eastAsia" w:ascii="仿宋_GB2312" w:hAnsi="仿宋_GB2312" w:eastAsia="仿宋_GB2312" w:cs="仿宋_GB2312"/>
          <w:b w:val="0"/>
          <w:bCs w:val="0"/>
          <w:spacing w:val="0"/>
          <w:sz w:val="32"/>
          <w:szCs w:val="32"/>
        </w:rPr>
        <w:t>第一节</w:t>
      </w:r>
      <w:r>
        <w:rPr>
          <w:rFonts w:hint="eastAsia" w:ascii="仿宋_GB2312" w:hAnsi="仿宋_GB2312" w:eastAsia="仿宋_GB2312" w:cs="仿宋_GB2312"/>
          <w:b w:val="0"/>
          <w:bCs w:val="0"/>
          <w:spacing w:val="0"/>
          <w:w w:val="150"/>
          <w:sz w:val="32"/>
          <w:szCs w:val="32"/>
        </w:rPr>
        <w:t xml:space="preserve"> </w:t>
      </w:r>
      <w:r>
        <w:rPr>
          <w:rFonts w:hint="eastAsia" w:ascii="仿宋_GB2312" w:hAnsi="仿宋_GB2312" w:eastAsia="仿宋_GB2312" w:cs="仿宋_GB2312"/>
          <w:b w:val="0"/>
          <w:bCs w:val="0"/>
          <w:spacing w:val="0"/>
          <w:sz w:val="32"/>
          <w:szCs w:val="32"/>
        </w:rPr>
        <w:t>加快教育质量提升</w:t>
      </w:r>
    </w:p>
    <w:p>
      <w:pPr>
        <w:pStyle w:val="2"/>
        <w:keepNext w:val="0"/>
        <w:keepLines w:val="0"/>
        <w:pageBreakBefore w:val="0"/>
        <w:widowControl w:val="0"/>
        <w:kinsoku/>
        <w:wordWrap/>
        <w:overflowPunct/>
        <w:topLinePunct w:val="0"/>
        <w:autoSpaceDE/>
        <w:autoSpaceDN/>
        <w:bidi w:val="0"/>
        <w:adjustRightInd/>
        <w:snapToGrid/>
        <w:spacing w:afterAutospacing="0" w:line="580" w:lineRule="exact"/>
        <w:ind w:left="0" w:right="0" w:firstLine="648" w:firstLineChars="200"/>
        <w:textAlignment w:val="auto"/>
        <w:rPr>
          <w:rFonts w:hint="eastAsia" w:ascii="仿宋_GB2312" w:hAnsi="仿宋_GB2312" w:eastAsia="仿宋_GB2312" w:cs="仿宋_GB2312"/>
          <w:b/>
          <w:spacing w:val="0"/>
          <w:sz w:val="32"/>
          <w:szCs w:val="32"/>
        </w:rPr>
      </w:pPr>
    </w:p>
    <w:p>
      <w:pPr>
        <w:pStyle w:val="2"/>
        <w:keepNext w:val="0"/>
        <w:keepLines w:val="0"/>
        <w:pageBreakBefore w:val="0"/>
        <w:widowControl w:val="0"/>
        <w:kinsoku/>
        <w:wordWrap/>
        <w:overflowPunct/>
        <w:topLinePunct w:val="0"/>
        <w:autoSpaceDE/>
        <w:autoSpaceDN/>
        <w:bidi w:val="0"/>
        <w:adjustRightInd/>
        <w:snapToGrid/>
        <w:spacing w:afterAutospacing="0" w:line="580" w:lineRule="exact"/>
        <w:ind w:left="0" w:right="0" w:firstLine="648"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spacing w:val="0"/>
          <w:sz w:val="32"/>
          <w:szCs w:val="32"/>
          <w:lang w:eastAsia="zh-CN"/>
        </w:rPr>
        <w:t>（一）</w:t>
      </w:r>
      <w:r>
        <w:rPr>
          <w:rFonts w:hint="eastAsia" w:ascii="仿宋_GB2312" w:hAnsi="仿宋_GB2312" w:eastAsia="仿宋_GB2312" w:cs="仿宋_GB2312"/>
          <w:b/>
          <w:spacing w:val="0"/>
          <w:sz w:val="32"/>
          <w:szCs w:val="32"/>
        </w:rPr>
        <w:t>提高学前教育普及普惠水平。</w:t>
      </w:r>
      <w:r>
        <w:rPr>
          <w:rFonts w:hint="eastAsia" w:ascii="仿宋_GB2312" w:hAnsi="仿宋_GB2312" w:eastAsia="仿宋_GB2312" w:cs="仿宋_GB2312"/>
          <w:spacing w:val="0"/>
          <w:sz w:val="32"/>
          <w:szCs w:val="32"/>
        </w:rPr>
        <w:t>加快推动学前教育发展战略转型，健全完善政府主导、社会参与、公办民办并举的学前教育公共服务体系。健全学前教育标准规范体系，加快取缔无证幼儿园，保证平均每所幼儿园对常住人口的全面覆盖，基本实现幼儿就近入学，全面落实幼儿教师持有资格证上岗。逐步推行公办幼儿园和普惠民办幼儿园服务区制度，鼓励相邻小区共建共享或依托幼儿园设置托儿所，形成基本完善的社区托育服务网，提供全日托、半日托、计时托、临时托等多样化普惠托育服务。逐步提高幼师工资待遇，稳定教师队伍。</w:t>
      </w:r>
    </w:p>
    <w:p>
      <w:pPr>
        <w:pStyle w:val="2"/>
        <w:keepNext w:val="0"/>
        <w:keepLines w:val="0"/>
        <w:pageBreakBefore w:val="0"/>
        <w:widowControl w:val="0"/>
        <w:kinsoku/>
        <w:wordWrap/>
        <w:overflowPunct/>
        <w:topLinePunct w:val="0"/>
        <w:autoSpaceDE/>
        <w:autoSpaceDN/>
        <w:bidi w:val="0"/>
        <w:adjustRightInd/>
        <w:snapToGrid/>
        <w:spacing w:afterAutospacing="0" w:line="580" w:lineRule="exact"/>
        <w:ind w:left="0" w:right="0" w:firstLine="648"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spacing w:val="0"/>
          <w:sz w:val="32"/>
          <w:szCs w:val="32"/>
          <w:lang w:eastAsia="zh-CN"/>
        </w:rPr>
        <w:t>（二）</w:t>
      </w:r>
      <w:r>
        <w:rPr>
          <w:rFonts w:hint="eastAsia" w:ascii="仿宋_GB2312" w:hAnsi="仿宋_GB2312" w:eastAsia="仿宋_GB2312" w:cs="仿宋_GB2312"/>
          <w:b/>
          <w:spacing w:val="0"/>
          <w:sz w:val="32"/>
          <w:szCs w:val="32"/>
        </w:rPr>
        <w:t>推动基础教育优质均衡发展。</w:t>
      </w:r>
      <w:r>
        <w:rPr>
          <w:rFonts w:hint="eastAsia" w:ascii="仿宋_GB2312" w:hAnsi="仿宋_GB2312" w:eastAsia="仿宋_GB2312" w:cs="仿宋_GB2312"/>
          <w:spacing w:val="0"/>
          <w:sz w:val="32"/>
          <w:szCs w:val="32"/>
        </w:rPr>
        <w:t>科学配置义务教育资源，缩小城乡、区域、学校、群体差距。完善城乡教育布局规划，扩大优质普通高中资源覆盖面，实现人口集聚与教育资源同步配套。加快高质量教师队伍建设步伐，大力提升教师专业素养，提高研究生学历教师比例，完善教师绩效评价办法。推动义务教育资源向农村困难地区和薄弱环节倾斜，建立义务教育学校教师交流轮岗、名师“无校籍”管理和骨干教师均衡配置制度，确保义务教育城乡一体化发展。</w:t>
      </w:r>
    </w:p>
    <w:p>
      <w:pPr>
        <w:pStyle w:val="2"/>
        <w:keepNext w:val="0"/>
        <w:keepLines w:val="0"/>
        <w:pageBreakBefore w:val="0"/>
        <w:widowControl w:val="0"/>
        <w:kinsoku/>
        <w:wordWrap/>
        <w:overflowPunct/>
        <w:topLinePunct w:val="0"/>
        <w:autoSpaceDE/>
        <w:autoSpaceDN/>
        <w:bidi w:val="0"/>
        <w:adjustRightInd/>
        <w:snapToGrid/>
        <w:spacing w:afterAutospacing="0" w:line="580" w:lineRule="exact"/>
        <w:ind w:left="0" w:right="0" w:firstLine="648"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spacing w:val="0"/>
          <w:sz w:val="32"/>
          <w:szCs w:val="32"/>
          <w:lang w:eastAsia="zh-CN"/>
        </w:rPr>
        <w:t>（三）</w:t>
      </w:r>
      <w:r>
        <w:rPr>
          <w:rFonts w:hint="eastAsia" w:ascii="仿宋_GB2312" w:hAnsi="仿宋_GB2312" w:eastAsia="仿宋_GB2312" w:cs="仿宋_GB2312"/>
          <w:b/>
          <w:spacing w:val="0"/>
          <w:sz w:val="32"/>
          <w:szCs w:val="32"/>
        </w:rPr>
        <w:t>推动职业教育产教融合发展。</w:t>
      </w:r>
      <w:r>
        <w:rPr>
          <w:rFonts w:hint="eastAsia" w:ascii="仿宋_GB2312" w:hAnsi="仿宋_GB2312" w:eastAsia="仿宋_GB2312" w:cs="仿宋_GB2312"/>
          <w:spacing w:val="0"/>
          <w:sz w:val="32"/>
          <w:szCs w:val="32"/>
        </w:rPr>
        <w:t>加快构建适应产业发展需求、职普融通、产教融合、科教融汇、灵活开放的现代职业教育体系。充分发挥市职教园区建设发展中心作用，大幅改善职业教育办学条件。全面推行现代学徒制和企业新型学徒制，加大实习实训在教学中的比重。探索校企共管、共享、共赢的实训基地工厂化运营模式。</w:t>
      </w:r>
    </w:p>
    <w:p>
      <w:pPr>
        <w:pStyle w:val="2"/>
        <w:keepNext w:val="0"/>
        <w:keepLines w:val="0"/>
        <w:pageBreakBefore w:val="0"/>
        <w:widowControl w:val="0"/>
        <w:kinsoku/>
        <w:wordWrap/>
        <w:overflowPunct/>
        <w:topLinePunct w:val="0"/>
        <w:autoSpaceDE/>
        <w:autoSpaceDN/>
        <w:bidi w:val="0"/>
        <w:adjustRightInd/>
        <w:snapToGrid/>
        <w:spacing w:afterAutospacing="0" w:line="580" w:lineRule="exact"/>
        <w:ind w:left="0" w:right="0" w:firstLine="648"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spacing w:val="0"/>
          <w:sz w:val="32"/>
          <w:szCs w:val="32"/>
          <w:lang w:eastAsia="zh-CN"/>
        </w:rPr>
        <w:t>（四）</w:t>
      </w:r>
      <w:r>
        <w:rPr>
          <w:rFonts w:hint="eastAsia" w:ascii="仿宋_GB2312" w:hAnsi="仿宋_GB2312" w:eastAsia="仿宋_GB2312" w:cs="仿宋_GB2312"/>
          <w:b/>
          <w:spacing w:val="0"/>
          <w:sz w:val="32"/>
          <w:szCs w:val="32"/>
        </w:rPr>
        <w:t>推动高等教育创新升级发展。</w:t>
      </w:r>
      <w:r>
        <w:rPr>
          <w:rFonts w:hint="eastAsia" w:ascii="仿宋_GB2312" w:hAnsi="仿宋_GB2312" w:eastAsia="仿宋_GB2312" w:cs="仿宋_GB2312"/>
          <w:spacing w:val="0"/>
          <w:sz w:val="32"/>
          <w:szCs w:val="32"/>
        </w:rPr>
        <w:t>全面提升</w:t>
      </w:r>
      <w:r>
        <w:rPr>
          <w:rFonts w:hint="eastAsia" w:ascii="仿宋_GB2312" w:hAnsi="仿宋_GB2312" w:eastAsia="仿宋_GB2312" w:cs="仿宋_GB2312"/>
          <w:spacing w:val="0"/>
          <w:sz w:val="32"/>
          <w:szCs w:val="32"/>
          <w:lang w:eastAsia="zh-CN"/>
        </w:rPr>
        <w:t>黄淮</w:t>
      </w:r>
      <w:r>
        <w:rPr>
          <w:rFonts w:hint="eastAsia" w:ascii="仿宋_GB2312" w:hAnsi="仿宋_GB2312" w:eastAsia="仿宋_GB2312" w:cs="仿宋_GB2312"/>
          <w:spacing w:val="0"/>
          <w:sz w:val="32"/>
          <w:szCs w:val="32"/>
        </w:rPr>
        <w:t>学院、</w:t>
      </w:r>
      <w:r>
        <w:rPr>
          <w:rFonts w:hint="eastAsia" w:ascii="仿宋_GB2312" w:hAnsi="仿宋_GB2312" w:eastAsia="仿宋_GB2312" w:cs="仿宋_GB2312"/>
          <w:spacing w:val="0"/>
          <w:sz w:val="32"/>
          <w:szCs w:val="32"/>
          <w:lang w:eastAsia="zh-CN"/>
        </w:rPr>
        <w:t>职业技术</w:t>
      </w:r>
      <w:r>
        <w:rPr>
          <w:rFonts w:hint="eastAsia" w:ascii="仿宋_GB2312" w:hAnsi="仿宋_GB2312" w:eastAsia="仿宋_GB2312" w:cs="仿宋_GB2312"/>
          <w:spacing w:val="0"/>
          <w:sz w:val="32"/>
          <w:szCs w:val="32"/>
        </w:rPr>
        <w:t>学院等本科院校办学水平，加强与京津冀、长三角的合作，引进国内外优质高等教育资源来</w:t>
      </w:r>
      <w:r>
        <w:rPr>
          <w:rFonts w:hint="eastAsia" w:ascii="仿宋_GB2312" w:hAnsi="仿宋_GB2312" w:eastAsia="仿宋_GB2312" w:cs="仿宋_GB2312"/>
          <w:spacing w:val="0"/>
          <w:sz w:val="32"/>
          <w:szCs w:val="32"/>
          <w:lang w:eastAsia="zh-CN"/>
        </w:rPr>
        <w:t>驻</w:t>
      </w:r>
      <w:r>
        <w:rPr>
          <w:rFonts w:hint="eastAsia" w:ascii="仿宋_GB2312" w:hAnsi="仿宋_GB2312" w:eastAsia="仿宋_GB2312" w:cs="仿宋_GB2312"/>
          <w:spacing w:val="0"/>
          <w:sz w:val="32"/>
          <w:szCs w:val="32"/>
        </w:rPr>
        <w:t>合作办学。鼓励驻</w:t>
      </w:r>
      <w:r>
        <w:rPr>
          <w:rFonts w:hint="eastAsia" w:ascii="仿宋_GB2312" w:hAnsi="仿宋_GB2312" w:eastAsia="仿宋_GB2312" w:cs="仿宋_GB2312"/>
          <w:spacing w:val="0"/>
          <w:sz w:val="32"/>
          <w:szCs w:val="32"/>
          <w:lang w:eastAsia="zh-CN"/>
        </w:rPr>
        <w:t>驻</w:t>
      </w:r>
      <w:r>
        <w:rPr>
          <w:rFonts w:hint="eastAsia" w:ascii="仿宋_GB2312" w:hAnsi="仿宋_GB2312" w:eastAsia="仿宋_GB2312" w:cs="仿宋_GB2312"/>
          <w:spacing w:val="0"/>
          <w:sz w:val="32"/>
          <w:szCs w:val="32"/>
        </w:rPr>
        <w:t>高校加快构建与地方产业紧密契合的专业体系，优先建设汽车零部件产业、食品产业与中药材产业等的紧缺专业。支持高校与</w:t>
      </w:r>
      <w:r>
        <w:rPr>
          <w:rFonts w:hint="eastAsia" w:ascii="仿宋_GB2312" w:hAnsi="仿宋_GB2312" w:eastAsia="仿宋_GB2312" w:cs="仿宋_GB2312"/>
          <w:spacing w:val="0"/>
          <w:sz w:val="32"/>
          <w:szCs w:val="32"/>
          <w:lang w:eastAsia="zh-CN"/>
        </w:rPr>
        <w:t>产业</w:t>
      </w:r>
      <w:r>
        <w:rPr>
          <w:rFonts w:hint="eastAsia" w:ascii="仿宋_GB2312" w:hAnsi="仿宋_GB2312" w:eastAsia="仿宋_GB2312" w:cs="仿宋_GB2312"/>
          <w:spacing w:val="0"/>
          <w:sz w:val="32"/>
          <w:szCs w:val="32"/>
        </w:rPr>
        <w:t>园区开展合作，共同建设大学科技园、科技孵化器、众创空间等载体。</w:t>
      </w:r>
    </w:p>
    <w:p>
      <w:pPr>
        <w:pStyle w:val="3"/>
        <w:keepNext w:val="0"/>
        <w:keepLines w:val="0"/>
        <w:pageBreakBefore w:val="0"/>
        <w:widowControl w:val="0"/>
        <w:kinsoku/>
        <w:wordWrap/>
        <w:overflowPunct/>
        <w:topLinePunct w:val="0"/>
        <w:autoSpaceDE/>
        <w:autoSpaceDN/>
        <w:bidi w:val="0"/>
        <w:adjustRightInd/>
        <w:snapToGrid/>
        <w:spacing w:afterAutospacing="0" w:line="580" w:lineRule="exact"/>
        <w:ind w:left="0" w:right="0" w:firstLine="648" w:firstLineChars="200"/>
        <w:textAlignment w:val="auto"/>
        <w:rPr>
          <w:rFonts w:hint="eastAsia" w:ascii="仿宋_GB2312" w:hAnsi="仿宋_GB2312" w:eastAsia="仿宋_GB2312" w:cs="仿宋_GB2312"/>
          <w:b w:val="0"/>
          <w:bCs w:val="0"/>
          <w:spacing w:val="0"/>
          <w:sz w:val="32"/>
          <w:szCs w:val="32"/>
        </w:rPr>
      </w:pPr>
      <w:bookmarkStart w:id="8" w:name="_bookmark49"/>
      <w:bookmarkEnd w:id="8"/>
      <w:bookmarkStart w:id="9" w:name="第二节  完善医疗体系建设，提高医疗服务水平"/>
      <w:bookmarkEnd w:id="9"/>
      <w:r>
        <w:rPr>
          <w:rFonts w:hint="eastAsia" w:ascii="仿宋_GB2312" w:hAnsi="仿宋_GB2312" w:eastAsia="仿宋_GB2312" w:cs="仿宋_GB2312"/>
          <w:b w:val="0"/>
          <w:bCs w:val="0"/>
          <w:spacing w:val="0"/>
          <w:sz w:val="32"/>
          <w:szCs w:val="32"/>
        </w:rPr>
        <w:t>第二节</w:t>
      </w:r>
      <w:r>
        <w:rPr>
          <w:rFonts w:hint="eastAsia" w:ascii="仿宋_GB2312" w:hAnsi="仿宋_GB2312" w:eastAsia="仿宋_GB2312" w:cs="仿宋_GB2312"/>
          <w:b w:val="0"/>
          <w:bCs w:val="0"/>
          <w:spacing w:val="0"/>
          <w:w w:val="150"/>
          <w:sz w:val="32"/>
          <w:szCs w:val="32"/>
        </w:rPr>
        <w:t xml:space="preserve"> </w:t>
      </w:r>
      <w:r>
        <w:rPr>
          <w:rFonts w:hint="eastAsia" w:ascii="仿宋_GB2312" w:hAnsi="仿宋_GB2312" w:eastAsia="仿宋_GB2312" w:cs="仿宋_GB2312"/>
          <w:b w:val="0"/>
          <w:bCs w:val="0"/>
          <w:spacing w:val="0"/>
          <w:sz w:val="32"/>
          <w:szCs w:val="32"/>
        </w:rPr>
        <w:t>提高医疗服务水平</w:t>
      </w:r>
    </w:p>
    <w:p>
      <w:pPr>
        <w:pStyle w:val="2"/>
        <w:keepNext w:val="0"/>
        <w:keepLines w:val="0"/>
        <w:pageBreakBefore w:val="0"/>
        <w:widowControl w:val="0"/>
        <w:kinsoku/>
        <w:wordWrap/>
        <w:overflowPunct/>
        <w:topLinePunct w:val="0"/>
        <w:autoSpaceDE/>
        <w:autoSpaceDN/>
        <w:bidi w:val="0"/>
        <w:adjustRightInd/>
        <w:snapToGrid/>
        <w:spacing w:afterAutospacing="0" w:line="580" w:lineRule="exact"/>
        <w:ind w:left="0" w:right="0" w:firstLine="648" w:firstLineChars="200"/>
        <w:textAlignment w:val="auto"/>
        <w:rPr>
          <w:rFonts w:hint="eastAsia" w:ascii="仿宋_GB2312" w:hAnsi="仿宋_GB2312" w:eastAsia="仿宋_GB2312" w:cs="仿宋_GB2312"/>
          <w:b/>
          <w:spacing w:val="0"/>
          <w:sz w:val="32"/>
          <w:szCs w:val="32"/>
        </w:rPr>
      </w:pPr>
    </w:p>
    <w:p>
      <w:pPr>
        <w:pStyle w:val="2"/>
        <w:keepNext w:val="0"/>
        <w:keepLines w:val="0"/>
        <w:pageBreakBefore w:val="0"/>
        <w:widowControl w:val="0"/>
        <w:numPr>
          <w:ilvl w:val="0"/>
          <w:numId w:val="5"/>
        </w:numPr>
        <w:kinsoku/>
        <w:wordWrap/>
        <w:overflowPunct/>
        <w:topLinePunct w:val="0"/>
        <w:autoSpaceDE/>
        <w:autoSpaceDN/>
        <w:bidi w:val="0"/>
        <w:adjustRightInd/>
        <w:snapToGrid/>
        <w:spacing w:afterAutospacing="0" w:line="580" w:lineRule="exact"/>
        <w:ind w:left="0" w:leftChars="0" w:right="0" w:firstLine="648"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spacing w:val="0"/>
          <w:sz w:val="32"/>
          <w:szCs w:val="32"/>
        </w:rPr>
        <w:t>扩大医疗卫生服务供给。</w:t>
      </w:r>
      <w:r>
        <w:rPr>
          <w:rFonts w:hint="eastAsia" w:ascii="仿宋_GB2312" w:hAnsi="仿宋_GB2312" w:eastAsia="仿宋_GB2312" w:cs="仿宋_GB2312"/>
          <w:spacing w:val="0"/>
          <w:sz w:val="32"/>
          <w:szCs w:val="32"/>
        </w:rPr>
        <w:t>根据区域疾病谱和重大疾病临床需求，统筹医疗资源，加快优质医疗资源向县乡村延伸，深化医联体、医共体建设，促进医疗服务均质化发展。强化各级医疗机构临床重点专科、学科建设，重点支持眼科、口腔、精神病、骨科等优势学科。加强薄弱二级专科医疗机构建设，加快建成省级特色重点专科。加强基层医疗卫生机构规划建设，实施卫生强基工程，提升基层卫生服务能力。</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Autospacing="0" w:line="580" w:lineRule="exact"/>
        <w:ind w:right="0" w:rightChars="0" w:firstLine="648" w:firstLineChars="200"/>
        <w:textAlignment w:val="auto"/>
        <w:rPr>
          <w:rFonts w:hint="eastAsia" w:ascii="仿宋" w:hAnsi="仿宋" w:eastAsia="仿宋" w:cs="仿宋"/>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pacing w:val="0"/>
          <w:sz w:val="32"/>
          <w:szCs w:val="32"/>
          <w:lang w:eastAsia="zh-CN"/>
          <w14:textFill>
            <w14:solidFill>
              <w14:schemeClr w14:val="tx1"/>
            </w14:solidFill>
          </w14:textFill>
        </w:rPr>
        <w:t>（二）</w:t>
      </w:r>
      <w:r>
        <w:rPr>
          <w:rStyle w:val="10"/>
          <w:rFonts w:hint="eastAsia" w:ascii="仿宋" w:hAnsi="仿宋" w:eastAsia="仿宋" w:cs="仿宋"/>
          <w:color w:val="000000" w:themeColor="text1"/>
          <w:sz w:val="32"/>
          <w:szCs w:val="32"/>
          <w:shd w:val="clear" w:fill="FFFFFF"/>
          <w14:textFill>
            <w14:solidFill>
              <w14:schemeClr w14:val="tx1"/>
            </w14:solidFill>
          </w14:textFill>
        </w:rPr>
        <w:t>完善公共卫生防控体系</w:t>
      </w:r>
      <w:r>
        <w:rPr>
          <w:rStyle w:val="10"/>
          <w:rFonts w:hint="eastAsia" w:ascii="仿宋" w:hAnsi="仿宋" w:eastAsia="仿宋" w:cs="仿宋"/>
          <w:color w:val="000000" w:themeColor="text1"/>
          <w:sz w:val="32"/>
          <w:szCs w:val="32"/>
          <w:shd w:val="clear" w:fill="FFFFFF"/>
          <w:lang w:eastAsia="zh-CN"/>
          <w14:textFill>
            <w14:solidFill>
              <w14:schemeClr w14:val="tx1"/>
            </w14:solidFill>
          </w14:textFill>
        </w:rPr>
        <w:t>。</w:t>
      </w:r>
      <w:r>
        <w:rPr>
          <w:rFonts w:hint="eastAsia" w:ascii="仿宋" w:hAnsi="仿宋" w:eastAsia="仿宋" w:cs="仿宋"/>
          <w:color w:val="000000" w:themeColor="text1"/>
          <w:sz w:val="32"/>
          <w:szCs w:val="32"/>
          <w:shd w:val="clear" w:fill="FFFFFF"/>
          <w14:textFill>
            <w14:solidFill>
              <w14:schemeClr w14:val="tx1"/>
            </w14:solidFill>
          </w14:textFill>
        </w:rPr>
        <w:t>建立稳定的公共卫生事业投入机制，加强公共卫生防疫和重大传染病防控，增强早期监测预警、快速检测、应急处置和综合救治能力，织密维护人民健康的防护网。深化疾病预防控制体系改革，完善各类机构功能定位和能力配置，推进各级疾控机构标准化建设，加强市县疾控机构建设，升级改造P2实验室，提升传染病病原体等检验检测能力。健全上下联动、疾控机构和城乡社区联动的分工协作机制。完善传染病疫情和突发公共卫生事件监测系统，加强实验室检测网络和能力建设，建立健全多渠道监测和智慧化预警多点触发机制，实现传染病全域监控和全程追踪。建立健全平战结合、分层分类、高效协同的公共卫生服务体系，加快建设市公共卫生临床中心和县级医院传染病区或公共卫生医学中心，乡镇卫生院和社区卫生服务中心规范建设发热门诊或发热诊室。推进公共设施平战两用改造。借鉴方舱医院和人防工程改造经验，提高大型体育场馆、展览馆（会展中心）等公共设施建设标准，使其具备能快速转化为救治和隔离场所的基本条件。健全重大疫情医疗救助费用保障机制。完善突发公共卫生事件应对预案和应急指挥体系，优化联防联控、群防群控机制，加强重大疫情应急物资储备、技术储备和产能储备，提升重大疫情应急响应能力。加强妇幼保健、职业病防治、采供血等服务体系建设。</w:t>
      </w:r>
    </w:p>
    <w:p>
      <w:pPr>
        <w:pStyle w:val="6"/>
        <w:keepNext w:val="0"/>
        <w:keepLines w:val="0"/>
        <w:widowControl/>
        <w:suppressLineNumbers w:val="0"/>
        <w:ind w:firstLine="648" w:firstLineChars="200"/>
        <w:jc w:val="left"/>
        <w:rPr>
          <w:rFonts w:hint="eastAsia" w:ascii="仿宋" w:hAnsi="仿宋" w:eastAsia="仿宋" w:cs="仿宋"/>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pacing w:val="0"/>
          <w:sz w:val="32"/>
          <w:szCs w:val="32"/>
          <w:lang w:eastAsia="zh-CN"/>
          <w14:textFill>
            <w14:solidFill>
              <w14:schemeClr w14:val="tx1"/>
            </w14:solidFill>
          </w14:textFill>
        </w:rPr>
        <w:t>（三）</w:t>
      </w:r>
      <w:r>
        <w:rPr>
          <w:rStyle w:val="10"/>
          <w:rFonts w:hint="eastAsia" w:ascii="仿宋" w:hAnsi="仿宋" w:eastAsia="仿宋" w:cs="仿宋"/>
          <w:color w:val="000000" w:themeColor="text1"/>
          <w:sz w:val="32"/>
          <w:szCs w:val="32"/>
          <w:shd w:val="clear" w:fill="FFFFFF"/>
          <w14:textFill>
            <w14:solidFill>
              <w14:schemeClr w14:val="tx1"/>
            </w14:solidFill>
          </w14:textFill>
        </w:rPr>
        <w:t>全面提升医疗服务能力</w:t>
      </w:r>
      <w:r>
        <w:rPr>
          <w:rStyle w:val="10"/>
          <w:rFonts w:hint="eastAsia" w:ascii="仿宋" w:hAnsi="仿宋" w:eastAsia="仿宋" w:cs="仿宋"/>
          <w:color w:val="000000" w:themeColor="text1"/>
          <w:sz w:val="32"/>
          <w:szCs w:val="32"/>
          <w:shd w:val="clear" w:fill="FFFFFF"/>
          <w:lang w:eastAsia="zh-CN"/>
          <w14:textFill>
            <w14:solidFill>
              <w14:schemeClr w14:val="tx1"/>
            </w14:solidFill>
          </w14:textFill>
        </w:rPr>
        <w:t>。</w:t>
      </w:r>
      <w:r>
        <w:rPr>
          <w:rFonts w:hint="eastAsia" w:ascii="仿宋" w:hAnsi="仿宋" w:eastAsia="仿宋" w:cs="仿宋"/>
          <w:color w:val="000000" w:themeColor="text1"/>
          <w:sz w:val="32"/>
          <w:szCs w:val="32"/>
          <w:shd w:val="clear" w:fill="FFFFFF"/>
          <w14:textFill>
            <w14:solidFill>
              <w14:schemeClr w14:val="tx1"/>
            </w14:solidFill>
          </w14:textFill>
        </w:rPr>
        <w:t>加快构建以区域医疗中心为骨干的医疗卫生服务体系，推动市中心医院、市中医院、市第二人民医院申报省级区域诊疗中心，形成市域医疗中心、县城医疗中心联动格局，提高乡镇卫生院、村卫生室等基层卫生机构服务能力。推进市级“四所医院”建设，全面建成县级“三所医院”并实现二级标准全覆盖，每千人口拥有医疗卫生机构床位数达到全省平均水平。加快建设紧密型县域医共体，加强县域医疗资源共享和一体化管理，推动乡镇卫生院、社区卫生服务中心、村卫生室建设标准和服务能力全部达标。持续实施医疗卫生体育人才队伍建设，积极引进国内外医学领域领军人才及团队，强化医德医风和行业作风建设，培养医疗技术骨干和学科带头人。保障医务人员正当权益，提高基层医生待遇，营造尊医重卫良好风尚。</w:t>
      </w:r>
    </w:p>
    <w:p>
      <w:pPr>
        <w:pStyle w:val="2"/>
        <w:keepNext w:val="0"/>
        <w:keepLines w:val="0"/>
        <w:pageBreakBefore w:val="0"/>
        <w:widowControl w:val="0"/>
        <w:kinsoku/>
        <w:wordWrap/>
        <w:overflowPunct/>
        <w:topLinePunct w:val="0"/>
        <w:autoSpaceDE/>
        <w:autoSpaceDN/>
        <w:bidi w:val="0"/>
        <w:adjustRightInd/>
        <w:snapToGrid/>
        <w:spacing w:afterAutospacing="0" w:line="580" w:lineRule="exact"/>
        <w:ind w:left="0" w:leftChars="0" w:right="0" w:firstLine="648"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spacing w:val="0"/>
          <w:sz w:val="32"/>
          <w:szCs w:val="32"/>
          <w:lang w:eastAsia="zh-CN"/>
        </w:rPr>
        <w:t>（四）</w:t>
      </w:r>
      <w:r>
        <w:rPr>
          <w:rFonts w:hint="eastAsia" w:ascii="仿宋_GB2312" w:hAnsi="仿宋_GB2312" w:eastAsia="仿宋_GB2312" w:cs="仿宋_GB2312"/>
          <w:b/>
          <w:spacing w:val="0"/>
          <w:sz w:val="32"/>
          <w:szCs w:val="32"/>
        </w:rPr>
        <w:t>推进医疗卫生服务协同共享。</w:t>
      </w:r>
      <w:r>
        <w:rPr>
          <w:rFonts w:hint="eastAsia" w:ascii="仿宋_GB2312" w:hAnsi="仿宋_GB2312" w:eastAsia="仿宋_GB2312" w:cs="仿宋_GB2312"/>
          <w:spacing w:val="0"/>
          <w:sz w:val="32"/>
          <w:szCs w:val="32"/>
        </w:rPr>
        <w:t>加强医疗卫生跨区域合作，承建全国临床重点专科，因地制宜设立分院，打造豫南医疗高地，形成“体育+医疗+康养+文化”全链条发展新格局。采取合作办院、设立分院、组建医联体和专科联盟等形式，与京津冀、长三角、武汉都市圈等区域合作，实现优质医疗资源共享。积极推动共建医疗协作系统，完善远程医疗服务，实现双向转诊、转检、会诊、联网挂号，开展疑难疾病联合攻关，建立疑难重症会诊和转诊绿色通道。探索高层次医疗卫生人才跨城市柔性流动机制，推进实用型、创新型和复合型人才合作培养。</w:t>
      </w:r>
    </w:p>
    <w:p>
      <w:pPr>
        <w:pStyle w:val="3"/>
        <w:keepNext w:val="0"/>
        <w:keepLines w:val="0"/>
        <w:pageBreakBefore w:val="0"/>
        <w:widowControl w:val="0"/>
        <w:kinsoku/>
        <w:wordWrap/>
        <w:overflowPunct/>
        <w:topLinePunct w:val="0"/>
        <w:autoSpaceDE/>
        <w:autoSpaceDN/>
        <w:bidi w:val="0"/>
        <w:adjustRightInd/>
        <w:snapToGrid/>
        <w:spacing w:afterAutospacing="0" w:line="580" w:lineRule="exact"/>
        <w:ind w:left="0" w:right="0" w:firstLine="648" w:firstLineChars="200"/>
        <w:textAlignment w:val="auto"/>
        <w:rPr>
          <w:rFonts w:hint="eastAsia" w:ascii="仿宋_GB2312" w:hAnsi="仿宋_GB2312" w:eastAsia="仿宋_GB2312" w:cs="仿宋_GB2312"/>
          <w:b w:val="0"/>
          <w:bCs w:val="0"/>
          <w:spacing w:val="0"/>
          <w:sz w:val="32"/>
          <w:szCs w:val="32"/>
        </w:rPr>
      </w:pPr>
      <w:bookmarkStart w:id="10" w:name="第三节  健全养老服务体系，创新医养结合示范"/>
      <w:bookmarkEnd w:id="10"/>
      <w:bookmarkStart w:id="11" w:name="_bookmark50"/>
      <w:bookmarkEnd w:id="11"/>
      <w:r>
        <w:rPr>
          <w:rFonts w:hint="eastAsia" w:ascii="仿宋_GB2312" w:hAnsi="仿宋_GB2312" w:eastAsia="仿宋_GB2312" w:cs="仿宋_GB2312"/>
          <w:b w:val="0"/>
          <w:bCs w:val="0"/>
          <w:spacing w:val="0"/>
          <w:sz w:val="32"/>
          <w:szCs w:val="32"/>
        </w:rPr>
        <w:t>第三节</w:t>
      </w:r>
      <w:r>
        <w:rPr>
          <w:rFonts w:hint="eastAsia" w:ascii="仿宋_GB2312" w:hAnsi="仿宋_GB2312" w:eastAsia="仿宋_GB2312" w:cs="仿宋_GB2312"/>
          <w:b w:val="0"/>
          <w:bCs w:val="0"/>
          <w:spacing w:val="0"/>
          <w:w w:val="150"/>
          <w:sz w:val="32"/>
          <w:szCs w:val="32"/>
        </w:rPr>
        <w:t xml:space="preserve"> </w:t>
      </w:r>
      <w:r>
        <w:rPr>
          <w:rFonts w:hint="eastAsia" w:ascii="仿宋_GB2312" w:hAnsi="仿宋_GB2312" w:eastAsia="仿宋_GB2312" w:cs="仿宋_GB2312"/>
          <w:b w:val="0"/>
          <w:bCs w:val="0"/>
          <w:spacing w:val="0"/>
          <w:sz w:val="32"/>
          <w:szCs w:val="32"/>
        </w:rPr>
        <w:t>健全养老服务体系</w:t>
      </w:r>
    </w:p>
    <w:p>
      <w:pPr>
        <w:pStyle w:val="2"/>
        <w:keepNext w:val="0"/>
        <w:keepLines w:val="0"/>
        <w:pageBreakBefore w:val="0"/>
        <w:widowControl w:val="0"/>
        <w:kinsoku/>
        <w:wordWrap/>
        <w:overflowPunct/>
        <w:topLinePunct w:val="0"/>
        <w:autoSpaceDE/>
        <w:autoSpaceDN/>
        <w:bidi w:val="0"/>
        <w:adjustRightInd/>
        <w:snapToGrid/>
        <w:spacing w:afterAutospacing="0" w:line="580" w:lineRule="exact"/>
        <w:ind w:left="0" w:right="0" w:firstLine="648" w:firstLineChars="200"/>
        <w:textAlignment w:val="auto"/>
        <w:rPr>
          <w:rFonts w:hint="eastAsia" w:ascii="仿宋_GB2312" w:hAnsi="仿宋_GB2312" w:eastAsia="仿宋_GB2312" w:cs="仿宋_GB2312"/>
          <w:b w:val="0"/>
          <w:bCs w:val="0"/>
          <w:spacing w:val="0"/>
          <w:sz w:val="32"/>
          <w:szCs w:val="32"/>
        </w:rPr>
      </w:pPr>
    </w:p>
    <w:p>
      <w:pPr>
        <w:pStyle w:val="2"/>
        <w:keepNext w:val="0"/>
        <w:keepLines w:val="0"/>
        <w:pageBreakBefore w:val="0"/>
        <w:widowControl w:val="0"/>
        <w:kinsoku/>
        <w:wordWrap/>
        <w:overflowPunct/>
        <w:topLinePunct w:val="0"/>
        <w:autoSpaceDE/>
        <w:autoSpaceDN/>
        <w:bidi w:val="0"/>
        <w:adjustRightInd/>
        <w:snapToGrid/>
        <w:spacing w:afterAutospacing="0" w:line="580" w:lineRule="exact"/>
        <w:ind w:left="0" w:right="0" w:firstLine="648"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spacing w:val="0"/>
          <w:sz w:val="32"/>
          <w:szCs w:val="32"/>
          <w:lang w:eastAsia="zh-CN"/>
        </w:rPr>
        <w:t>（一）</w:t>
      </w:r>
      <w:r>
        <w:rPr>
          <w:rFonts w:hint="eastAsia" w:ascii="仿宋_GB2312" w:hAnsi="仿宋_GB2312" w:eastAsia="仿宋_GB2312" w:cs="仿宋_GB2312"/>
          <w:b/>
          <w:spacing w:val="0"/>
          <w:sz w:val="32"/>
          <w:szCs w:val="32"/>
        </w:rPr>
        <w:t>完善养老服务体系。</w:t>
      </w:r>
      <w:r>
        <w:rPr>
          <w:rFonts w:hint="eastAsia" w:ascii="仿宋_GB2312" w:hAnsi="仿宋_GB2312" w:eastAsia="仿宋_GB2312" w:cs="仿宋_GB2312"/>
          <w:spacing w:val="0"/>
          <w:sz w:val="32"/>
          <w:szCs w:val="32"/>
        </w:rPr>
        <w:t>科学规划布局，按照人均用地标准，分区分级规划设置养老服务设施，优化城乡养老服务供给。制定社区居家养老服务规范，建立以社区为平台、社会组织为载体、社会工作者为支撑的居家社区养老服务“三社联动”机制。加快布局建设日间照料机构等社区养老服务设施，积极发展社区嵌入式养老和互助性养老。根据“政府支持、社会运营、合理定价”原则，鼓励专业养老机构连锁化、规模化、品牌化运营养老服务设施，引导国有企业、社会组织、医疗机构、家政公司、物业企业等社会力量参与居家社区养老服务。健全县、乡、村衔接的三级养老服务网络，发展农村普惠型养老服务和互助式养老，不断完善以居家为基础、社区为依托、机构为补充、医养相结合的养老服务体系。</w:t>
      </w:r>
    </w:p>
    <w:p>
      <w:pPr>
        <w:pStyle w:val="2"/>
        <w:keepNext w:val="0"/>
        <w:keepLines w:val="0"/>
        <w:pageBreakBefore w:val="0"/>
        <w:widowControl w:val="0"/>
        <w:kinsoku/>
        <w:wordWrap/>
        <w:overflowPunct/>
        <w:topLinePunct w:val="0"/>
        <w:autoSpaceDE/>
        <w:autoSpaceDN/>
        <w:bidi w:val="0"/>
        <w:adjustRightInd/>
        <w:snapToGrid/>
        <w:spacing w:afterAutospacing="0" w:line="580" w:lineRule="exact"/>
        <w:ind w:left="0" w:right="0" w:firstLine="648"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spacing w:val="0"/>
          <w:sz w:val="32"/>
          <w:szCs w:val="32"/>
          <w:lang w:eastAsia="zh-CN"/>
        </w:rPr>
        <w:t>（二）</w:t>
      </w:r>
      <w:r>
        <w:rPr>
          <w:rFonts w:hint="eastAsia" w:ascii="仿宋_GB2312" w:hAnsi="仿宋_GB2312" w:eastAsia="仿宋_GB2312" w:cs="仿宋_GB2312"/>
          <w:b/>
          <w:spacing w:val="0"/>
          <w:sz w:val="32"/>
          <w:szCs w:val="32"/>
        </w:rPr>
        <w:t>扩大医养结合服务供给。</w:t>
      </w:r>
      <w:r>
        <w:rPr>
          <w:rFonts w:hint="eastAsia" w:ascii="仿宋_GB2312" w:hAnsi="仿宋_GB2312" w:eastAsia="仿宋_GB2312" w:cs="仿宋_GB2312"/>
          <w:spacing w:val="0"/>
          <w:sz w:val="32"/>
          <w:szCs w:val="32"/>
        </w:rPr>
        <w:t>推进医养康养结合，构建包括健康教育、预防保健、疾病诊治、康复护理、长期照护、安宁疗护的综合连续、覆盖城乡的老年健康服务体系，培育医养康养联合体。培育医养结合示范项目，建设区域老年医学中心、安宁疗护中心和老年医学培训基地。支持社区卫生服务中心、乡镇卫生院和社区养老机构、敬老院利用现有资源，新建改建一批社区（乡镇）医养结合服务设施。推进“互联网+护理服务”，发展面向家庭、社区和机构的智慧医养结合服务。</w:t>
      </w:r>
    </w:p>
    <w:p>
      <w:pPr>
        <w:pStyle w:val="2"/>
        <w:keepNext w:val="0"/>
        <w:keepLines w:val="0"/>
        <w:pageBreakBefore w:val="0"/>
        <w:widowControl w:val="0"/>
        <w:kinsoku/>
        <w:wordWrap/>
        <w:overflowPunct/>
        <w:topLinePunct w:val="0"/>
        <w:autoSpaceDE/>
        <w:autoSpaceDN/>
        <w:bidi w:val="0"/>
        <w:adjustRightInd/>
        <w:snapToGrid/>
        <w:spacing w:afterAutospacing="0" w:line="580" w:lineRule="exact"/>
        <w:ind w:left="0" w:right="0" w:firstLine="648"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spacing w:val="0"/>
          <w:sz w:val="32"/>
          <w:szCs w:val="32"/>
          <w:lang w:eastAsia="zh-CN"/>
        </w:rPr>
        <w:t>（三）</w:t>
      </w:r>
      <w:r>
        <w:rPr>
          <w:rFonts w:hint="eastAsia" w:ascii="仿宋_GB2312" w:hAnsi="仿宋_GB2312" w:eastAsia="仿宋_GB2312" w:cs="仿宋_GB2312"/>
          <w:b/>
          <w:spacing w:val="0"/>
          <w:sz w:val="32"/>
          <w:szCs w:val="32"/>
        </w:rPr>
        <w:t>借力数字技术发展普惠养老服务。</w:t>
      </w:r>
      <w:r>
        <w:rPr>
          <w:rFonts w:hint="eastAsia" w:ascii="仿宋_GB2312" w:hAnsi="仿宋_GB2312" w:eastAsia="仿宋_GB2312" w:cs="仿宋_GB2312"/>
          <w:spacing w:val="0"/>
          <w:sz w:val="32"/>
          <w:szCs w:val="32"/>
        </w:rPr>
        <w:t>利用数字化信息化等现代化技术，创新“平台＋服务＋康养＋终端”的智慧康养服务模式，整合各类养老服务资源，实现养老服务需求和供给精准对接，促进养老资源合理分配和高效利用。加快搭建养老服务数字化网络体系，以专养、专照、专保、专管、专营、专产为主要内容，建立市县街道三级养老服务指导中心和市、县、街道、社区、机构（家庭）五级智慧化养老服务网络。鼓励相关企业利用大数据、人工智能等新兴技术开展大规模定制养老服务，应用现实（AR）/虚拟现实（VR）等现代技术发展养老服务，促进养老服务需求和供给的精准匹配。鼓励街道社区与企业合作，开展老年“智慧学堂”，帮助老年人跨越数字鸿沟。</w:t>
      </w:r>
    </w:p>
    <w:p>
      <w:pPr>
        <w:pStyle w:val="3"/>
        <w:keepNext w:val="0"/>
        <w:keepLines w:val="0"/>
        <w:pageBreakBefore w:val="0"/>
        <w:numPr>
          <w:ilvl w:val="0"/>
          <w:numId w:val="6"/>
        </w:numPr>
        <w:kinsoku/>
        <w:wordWrap/>
        <w:overflowPunct/>
        <w:topLinePunct w:val="0"/>
        <w:autoSpaceDE/>
        <w:autoSpaceDN/>
        <w:bidi w:val="0"/>
        <w:adjustRightInd/>
        <w:snapToGrid/>
        <w:spacing w:before="54" w:afterAutospacing="0" w:line="580" w:lineRule="exact"/>
        <w:ind w:left="2580" w:right="0"/>
        <w:jc w:val="left"/>
        <w:rPr>
          <w:rFonts w:hint="eastAsia" w:ascii="仿宋_GB2312" w:hAnsi="仿宋_GB2312" w:eastAsia="仿宋_GB2312" w:cs="仿宋_GB2312"/>
          <w:b w:val="0"/>
          <w:bCs w:val="0"/>
          <w:spacing w:val="0"/>
          <w:sz w:val="32"/>
          <w:szCs w:val="32"/>
        </w:rPr>
      </w:pPr>
      <w:r>
        <w:rPr>
          <w:rFonts w:hint="eastAsia" w:ascii="仿宋_GB2312" w:hAnsi="仿宋_GB2312" w:eastAsia="仿宋_GB2312" w:cs="仿宋_GB2312"/>
          <w:b w:val="0"/>
          <w:bCs w:val="0"/>
          <w:spacing w:val="0"/>
          <w:sz w:val="32"/>
          <w:szCs w:val="32"/>
        </w:rPr>
        <w:t>推动城市品质提升</w:t>
      </w:r>
    </w:p>
    <w:p>
      <w:pPr>
        <w:keepNext w:val="0"/>
        <w:keepLines w:val="0"/>
        <w:pageBreakBefore w:val="0"/>
        <w:widowControl w:val="0"/>
        <w:kinsoku/>
        <w:wordWrap/>
        <w:overflowPunct/>
        <w:topLinePunct w:val="0"/>
        <w:autoSpaceDE/>
        <w:autoSpaceDN/>
        <w:bidi w:val="0"/>
        <w:adjustRightInd/>
        <w:snapToGrid/>
        <w:spacing w:afterAutospacing="0" w:line="580" w:lineRule="exact"/>
        <w:ind w:firstLine="648"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lang w:eastAsia="zh-CN"/>
        </w:rPr>
        <w:t>（一）</w:t>
      </w:r>
      <w:r>
        <w:rPr>
          <w:rFonts w:hint="eastAsia" w:ascii="仿宋_GB2312" w:hAnsi="仿宋_GB2312" w:eastAsia="仿宋_GB2312" w:cs="仿宋_GB2312"/>
          <w:b/>
          <w:bCs/>
          <w:spacing w:val="0"/>
          <w:sz w:val="32"/>
          <w:szCs w:val="32"/>
        </w:rPr>
        <w:t>推进社会治理创新。</w:t>
      </w:r>
      <w:r>
        <w:rPr>
          <w:rFonts w:hint="eastAsia" w:ascii="仿宋_GB2312" w:hAnsi="仿宋_GB2312" w:eastAsia="仿宋_GB2312" w:cs="仿宋_GB2312"/>
          <w:spacing w:val="0"/>
          <w:sz w:val="32"/>
          <w:szCs w:val="32"/>
        </w:rPr>
        <w:t>完善城市治理结构，强化地方主导作用，坚持依法治理、综合治理和源头治理，鼓励和支持社会各方参与，实现政府治理和社会自我调节、居民自治良性互动。强化社区自治和服务功能，健全社区党组织领导的基层群众自治制度，推进社区居民依法民主管理社区公共事务和公益事业，整合管理职能和服务资源，发挥业主委员会、物业管理机构、驻区单位作用，引导各类社会组织、志愿者参与社区服务和管理。创新社会治安综合治理，建立健全源头治理、动态协调、应急处置相互衔接、相互支撑的社会治安综合治理机制，构建立体化社会治安防控体系。健全防灾减灾救灾体制，完善灾害监测预警体系和应急管理体系，合理规划建设应急避难场所，提高居民风险防范意识和自救互救能力，发挥社会力量在应急管理中的作用。</w:t>
      </w:r>
    </w:p>
    <w:p>
      <w:pPr>
        <w:keepNext w:val="0"/>
        <w:keepLines w:val="0"/>
        <w:pageBreakBefore w:val="0"/>
        <w:widowControl w:val="0"/>
        <w:kinsoku/>
        <w:wordWrap/>
        <w:overflowPunct/>
        <w:topLinePunct w:val="0"/>
        <w:autoSpaceDE/>
        <w:autoSpaceDN/>
        <w:bidi w:val="0"/>
        <w:adjustRightInd/>
        <w:snapToGrid/>
        <w:spacing w:afterAutospacing="0" w:line="580" w:lineRule="exact"/>
        <w:ind w:firstLine="648"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lang w:eastAsia="zh-CN"/>
        </w:rPr>
        <w:t>（二）</w:t>
      </w:r>
      <w:r>
        <w:rPr>
          <w:rFonts w:hint="eastAsia" w:ascii="仿宋_GB2312" w:hAnsi="仿宋_GB2312" w:eastAsia="仿宋_GB2312" w:cs="仿宋_GB2312"/>
          <w:b/>
          <w:bCs/>
          <w:spacing w:val="0"/>
          <w:sz w:val="32"/>
          <w:szCs w:val="32"/>
        </w:rPr>
        <w:t>推进智慧城市建设。</w:t>
      </w:r>
      <w:r>
        <w:rPr>
          <w:rFonts w:hint="eastAsia" w:ascii="仿宋_GB2312" w:hAnsi="仿宋_GB2312" w:eastAsia="仿宋_GB2312" w:cs="仿宋_GB2312"/>
          <w:spacing w:val="0"/>
          <w:sz w:val="32"/>
          <w:szCs w:val="32"/>
        </w:rPr>
        <w:t>分级分类推进新型智慧城市建设和省级新型智慧城市建设试点，推动新一代信息技术与城市规划、建设、管理、服务全面融合，建设“城市大脑”中枢平台和“行业小脑”，提升城市治理精细化、智能化水平。加强市政设施运行管理、交通管理、环境管理、应急管理等城市数字化平台建设和功能整合，推进跨部门、跨行业、跨地区政务信息共享和业务协同，促进城市规划管理信息化、基础设施智能化、公共服务便捷化、产业发展现代化、社会治理精细化，提高城市运行效率。推进城市宽带、大数据中心等信息基础设施建设，积极发展民生服务智慧应用。</w:t>
      </w:r>
    </w:p>
    <w:p>
      <w:pPr>
        <w:keepNext w:val="0"/>
        <w:keepLines w:val="0"/>
        <w:pageBreakBefore w:val="0"/>
        <w:widowControl w:val="0"/>
        <w:kinsoku/>
        <w:wordWrap/>
        <w:overflowPunct/>
        <w:topLinePunct w:val="0"/>
        <w:autoSpaceDE/>
        <w:autoSpaceDN/>
        <w:bidi w:val="0"/>
        <w:adjustRightInd/>
        <w:snapToGrid/>
        <w:spacing w:afterAutospacing="0" w:line="580" w:lineRule="exact"/>
        <w:ind w:firstLine="648" w:firstLineChars="200"/>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lang w:eastAsia="zh-CN"/>
        </w:rPr>
        <w:t>（三）</w:t>
      </w:r>
      <w:r>
        <w:rPr>
          <w:rFonts w:hint="eastAsia" w:ascii="仿宋_GB2312" w:hAnsi="仿宋_GB2312" w:eastAsia="仿宋_GB2312" w:cs="仿宋_GB2312"/>
          <w:b/>
          <w:bCs/>
          <w:spacing w:val="0"/>
          <w:sz w:val="32"/>
          <w:szCs w:val="32"/>
        </w:rPr>
        <w:t>深入开展文明城市活动。</w:t>
      </w:r>
      <w:r>
        <w:rPr>
          <w:rFonts w:hint="eastAsia" w:ascii="仿宋_GB2312" w:hAnsi="仿宋_GB2312" w:eastAsia="仿宋_GB2312" w:cs="仿宋_GB2312"/>
          <w:spacing w:val="0"/>
          <w:sz w:val="32"/>
          <w:szCs w:val="32"/>
        </w:rPr>
        <w:t>巩固提升全国文明城市创建成果，</w:t>
      </w:r>
      <w:r>
        <w:rPr>
          <w:rFonts w:hint="eastAsia" w:ascii="仿宋_GB2312" w:hAnsi="仿宋_GB2312" w:eastAsia="仿宋_GB2312" w:cs="仿宋_GB2312"/>
          <w:spacing w:val="0"/>
          <w:sz w:val="32"/>
          <w:szCs w:val="32"/>
          <w:lang w:eastAsia="zh-CN"/>
        </w:rPr>
        <w:t>建设</w:t>
      </w:r>
      <w:r>
        <w:rPr>
          <w:rFonts w:hint="eastAsia" w:ascii="仿宋_GB2312" w:hAnsi="仿宋_GB2312" w:eastAsia="仿宋_GB2312" w:cs="仿宋_GB2312"/>
          <w:spacing w:val="0"/>
          <w:sz w:val="32"/>
          <w:szCs w:val="32"/>
        </w:rPr>
        <w:t>国家生态园林城市、智慧城市、健康城市、国家食品安全示范城市。在全市全面开展文明城市创建活动，统筹城市创建，着力提高市民文明素质、城市文明水平、社会文明程度，争取一批县级城市跻身全国和省级文明城市。</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8520" w:type="dxa"/>
            <w:noWrap w:val="0"/>
            <w:vAlign w:val="top"/>
          </w:tcPr>
          <w:p>
            <w:pPr>
              <w:keepNext w:val="0"/>
              <w:keepLines w:val="0"/>
              <w:pageBreakBefore w:val="0"/>
              <w:kinsoku/>
              <w:wordWrap/>
              <w:overflowPunct/>
              <w:topLinePunct w:val="0"/>
              <w:autoSpaceDE/>
              <w:autoSpaceDN/>
              <w:bidi w:val="0"/>
              <w:adjustRightInd/>
              <w:snapToGrid/>
              <w:spacing w:afterAutospacing="0" w:line="580" w:lineRule="exact"/>
              <w:jc w:val="center"/>
              <w:rPr>
                <w:rFonts w:hint="eastAsia" w:ascii="仿宋_GB2312" w:hAnsi="仿宋_GB2312" w:eastAsia="仿宋_GB2312" w:cs="仿宋_GB2312"/>
                <w:spacing w:val="0"/>
                <w:sz w:val="32"/>
                <w:szCs w:val="32"/>
                <w:vertAlign w:val="baseline"/>
                <w:lang w:eastAsia="zh-CN"/>
              </w:rPr>
            </w:pPr>
            <w:r>
              <w:rPr>
                <w:rFonts w:hint="eastAsia" w:ascii="仿宋_GB2312" w:hAnsi="仿宋_GB2312" w:eastAsia="仿宋_GB2312" w:cs="仿宋_GB2312"/>
                <w:b/>
                <w:bCs/>
                <w:spacing w:val="0"/>
                <w:sz w:val="32"/>
                <w:szCs w:val="32"/>
                <w:lang w:eastAsia="zh-CN"/>
              </w:rPr>
              <w:t>专栏九、</w:t>
            </w:r>
            <w:r>
              <w:rPr>
                <w:rFonts w:hint="eastAsia" w:ascii="仿宋_GB2312" w:hAnsi="仿宋_GB2312" w:eastAsia="仿宋_GB2312" w:cs="仿宋_GB2312"/>
                <w:b/>
                <w:bCs/>
                <w:spacing w:val="0"/>
                <w:sz w:val="32"/>
                <w:szCs w:val="32"/>
              </w:rPr>
              <w:t>公共服务</w:t>
            </w:r>
            <w:r>
              <w:rPr>
                <w:rFonts w:hint="eastAsia" w:ascii="仿宋_GB2312" w:hAnsi="仿宋_GB2312" w:eastAsia="仿宋_GB2312" w:cs="仿宋_GB2312"/>
                <w:b/>
                <w:bCs/>
                <w:spacing w:val="0"/>
                <w:sz w:val="32"/>
                <w:szCs w:val="32"/>
                <w:vertAlign w:val="baseline"/>
                <w:lang w:eastAsia="zh-CN"/>
              </w:rPr>
              <w:t>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5" w:hRule="atLeast"/>
        </w:trPr>
        <w:tc>
          <w:tcPr>
            <w:tcW w:w="8520" w:type="dxa"/>
            <w:noWrap w:val="0"/>
            <w:vAlign w:val="top"/>
          </w:tcPr>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rightChars="0"/>
              <w:jc w:val="both"/>
              <w:textAlignment w:val="baseline"/>
              <w:rPr>
                <w:rFonts w:hint="eastAsia" w:ascii="仿宋_GB2312" w:hAnsi="仿宋_GB2312" w:eastAsia="仿宋_GB2312" w:cs="仿宋_GB2312"/>
                <w:b w:val="0"/>
                <w:i w:val="0"/>
                <w:caps w:val="0"/>
                <w:color w:val="333333"/>
                <w:spacing w:val="0"/>
                <w:sz w:val="32"/>
                <w:szCs w:val="32"/>
                <w:shd w:val="clear" w:fill="FFFFFF"/>
                <w:vertAlign w:val="baseline"/>
              </w:rPr>
            </w:pPr>
            <w:r>
              <w:rPr>
                <w:rFonts w:hint="eastAsia" w:ascii="仿宋_GB2312" w:hAnsi="仿宋_GB2312" w:eastAsia="仿宋_GB2312" w:cs="仿宋_GB2312"/>
                <w:b/>
                <w:spacing w:val="0"/>
                <w:w w:val="99"/>
                <w:sz w:val="32"/>
                <w:szCs w:val="32"/>
                <w:lang w:val="en-US" w:eastAsia="zh-CN"/>
              </w:rPr>
              <w:t>1、</w:t>
            </w:r>
            <w:r>
              <w:rPr>
                <w:rFonts w:hint="eastAsia" w:ascii="仿宋_GB2312" w:hAnsi="仿宋_GB2312" w:eastAsia="仿宋_GB2312" w:cs="仿宋_GB2312"/>
                <w:b/>
                <w:spacing w:val="0"/>
                <w:w w:val="99"/>
                <w:sz w:val="32"/>
                <w:szCs w:val="32"/>
              </w:rPr>
              <w:t>教育服务建设项目：</w:t>
            </w:r>
            <w:r>
              <w:rPr>
                <w:rFonts w:hint="eastAsia" w:ascii="仿宋_GB2312" w:hAnsi="仿宋_GB2312" w:eastAsia="仿宋_GB2312" w:cs="仿宋_GB2312"/>
                <w:b w:val="0"/>
                <w:i w:val="0"/>
                <w:caps w:val="0"/>
                <w:color w:val="333333"/>
                <w:spacing w:val="0"/>
                <w:sz w:val="32"/>
                <w:szCs w:val="32"/>
                <w:shd w:val="clear" w:fill="FFFFFF"/>
                <w:vertAlign w:val="baseline"/>
              </w:rPr>
              <w:t>新建改扩建200所公办幼儿园和普惠性民办幼儿园，新建改扩建300所中小学，新建改扩建20所普通高中学校。现代职业教育提升工程</w:t>
            </w:r>
            <w:r>
              <w:rPr>
                <w:rFonts w:hint="eastAsia" w:ascii="仿宋_GB2312" w:hAnsi="仿宋_GB2312" w:eastAsia="仿宋_GB2312" w:cs="仿宋_GB2312"/>
                <w:b w:val="0"/>
                <w:i w:val="0"/>
                <w:caps w:val="0"/>
                <w:color w:val="333333"/>
                <w:spacing w:val="0"/>
                <w:sz w:val="32"/>
                <w:szCs w:val="32"/>
                <w:shd w:val="clear" w:fill="FFFFFF"/>
                <w:vertAlign w:val="baseline"/>
                <w:lang w:eastAsia="zh-CN"/>
              </w:rPr>
              <w:t>，</w:t>
            </w:r>
            <w:r>
              <w:rPr>
                <w:rFonts w:hint="eastAsia" w:ascii="仿宋_GB2312" w:hAnsi="仿宋_GB2312" w:eastAsia="仿宋_GB2312" w:cs="仿宋_GB2312"/>
                <w:b w:val="0"/>
                <w:i w:val="0"/>
                <w:caps w:val="0"/>
                <w:color w:val="333333"/>
                <w:spacing w:val="0"/>
                <w:sz w:val="32"/>
                <w:szCs w:val="32"/>
                <w:shd w:val="clear" w:fill="FFFFFF"/>
                <w:vertAlign w:val="baseline"/>
              </w:rPr>
              <w:t>重点建设4所高水平职业院校和4个骨干专业，重点建设5个高水平专业化产教融合实训基地。积极引进1-3所国内外高水平大学、科研院所来驻办学。</w:t>
            </w:r>
          </w:p>
          <w:p>
            <w:pPr>
              <w:keepNext w:val="0"/>
              <w:keepLines w:val="0"/>
              <w:widowControl/>
              <w:suppressLineNumbers w:val="0"/>
              <w:jc w:val="left"/>
              <w:rPr>
                <w:rFonts w:hint="eastAsia" w:ascii="仿宋_GB2312" w:hAnsi="仿宋_GB2312" w:eastAsia="仿宋_GB2312" w:cs="仿宋_GB2312"/>
                <w:spacing w:val="0"/>
                <w:sz w:val="32"/>
                <w:szCs w:val="32"/>
              </w:rPr>
            </w:pPr>
            <w:r>
              <w:rPr>
                <w:rFonts w:hint="eastAsia" w:ascii="仿宋_GB2312" w:hAnsi="仿宋_GB2312" w:eastAsia="仿宋_GB2312" w:cs="仿宋_GB2312"/>
                <w:b/>
                <w:spacing w:val="0"/>
                <w:sz w:val="32"/>
                <w:szCs w:val="32"/>
                <w:lang w:val="en-US" w:eastAsia="zh-CN"/>
              </w:rPr>
              <w:t>2、</w:t>
            </w:r>
            <w:r>
              <w:rPr>
                <w:rFonts w:hint="eastAsia" w:ascii="仿宋_GB2312" w:hAnsi="仿宋_GB2312" w:eastAsia="仿宋_GB2312" w:cs="仿宋_GB2312"/>
                <w:b/>
                <w:spacing w:val="0"/>
                <w:sz w:val="32"/>
                <w:szCs w:val="32"/>
              </w:rPr>
              <w:t>医疗卫生服务建设项目</w:t>
            </w:r>
            <w:r>
              <w:rPr>
                <w:rFonts w:hint="eastAsia" w:ascii="仿宋_GB2312" w:hAnsi="仿宋_GB2312" w:eastAsia="仿宋_GB2312" w:cs="仿宋_GB2312"/>
                <w:b/>
                <w:spacing w:val="0"/>
                <w:sz w:val="32"/>
                <w:szCs w:val="32"/>
                <w:lang w:eastAsia="zh-CN"/>
              </w:rPr>
              <w:t>：</w:t>
            </w:r>
            <w:r>
              <w:rPr>
                <w:rFonts w:hint="eastAsia" w:ascii="仿宋" w:hAnsi="仿宋" w:eastAsia="仿宋" w:cs="仿宋"/>
                <w:color w:val="auto"/>
                <w:kern w:val="0"/>
                <w:sz w:val="32"/>
                <w:szCs w:val="32"/>
                <w:shd w:val="clear" w:fill="FFFFFF"/>
                <w:lang w:val="en-US" w:eastAsia="zh-CN" w:bidi="ar"/>
              </w:rPr>
              <w:t>建设市级公共卫生临床中心和县级医院公共卫生医学中心，加强市县疾控机构建设，达到每个县区均有P2实验室。</w:t>
            </w:r>
            <w:r>
              <w:rPr>
                <w:rFonts w:hint="eastAsia" w:ascii="仿宋_GB2312" w:hAnsi="仿宋_GB2312" w:eastAsia="仿宋_GB2312" w:cs="仿宋_GB2312"/>
                <w:spacing w:val="0"/>
                <w:kern w:val="0"/>
                <w:sz w:val="32"/>
                <w:szCs w:val="32"/>
                <w:lang w:val="en-US" w:eastAsia="zh-CN" w:bidi="ar"/>
              </w:rPr>
              <w:t>建立应急状态下基本医疗卫生服务的保障机制。市级重点办好1所公立综合医院、1所公立中医院、1所公立妇幼保健院、1所公立妇女儿童医院、1所传染病医院，全部达到三级医院水平。到2025年，全市基层医疗卫生机构标准化达标率100%。</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rightChars="0"/>
              <w:jc w:val="both"/>
              <w:textAlignment w:val="baseline"/>
              <w:rPr>
                <w:rFonts w:hint="eastAsia" w:ascii="仿宋_GB2312" w:hAnsi="仿宋_GB2312" w:eastAsia="仿宋_GB2312" w:cs="仿宋_GB2312"/>
                <w:spacing w:val="0"/>
                <w:kern w:val="0"/>
                <w:sz w:val="32"/>
                <w:szCs w:val="32"/>
                <w:lang w:val="en-US" w:eastAsia="zh-CN" w:bidi="ar"/>
              </w:rPr>
            </w:pPr>
            <w:r>
              <w:rPr>
                <w:rFonts w:hint="eastAsia" w:ascii="仿宋_GB2312" w:hAnsi="仿宋_GB2312" w:eastAsia="仿宋_GB2312" w:cs="仿宋_GB2312"/>
                <w:b/>
                <w:spacing w:val="0"/>
                <w:kern w:val="0"/>
                <w:sz w:val="32"/>
                <w:szCs w:val="32"/>
                <w:lang w:val="en-US" w:eastAsia="zh-CN" w:bidi="ar"/>
              </w:rPr>
              <w:t>3、老年医疗服务体系：</w:t>
            </w:r>
            <w:r>
              <w:rPr>
                <w:rFonts w:hint="eastAsia" w:ascii="仿宋_GB2312" w:hAnsi="仿宋_GB2312" w:eastAsia="仿宋_GB2312" w:cs="仿宋_GB2312"/>
                <w:spacing w:val="0"/>
                <w:kern w:val="0"/>
                <w:sz w:val="32"/>
                <w:szCs w:val="32"/>
                <w:lang w:val="en-US" w:eastAsia="zh-CN" w:bidi="ar"/>
              </w:rPr>
              <w:t>到2025年，力争100%的综合医院、老年医院、康复医院、护理院和基层医疗卫生机构成为老年友善医疗机构，建设一批示范性老年健康服务机构。</w:t>
            </w:r>
          </w:p>
          <w:p>
            <w:pPr>
              <w:keepNext w:val="0"/>
              <w:keepLines w:val="0"/>
              <w:pageBreakBefore w:val="0"/>
              <w:widowControl/>
              <w:suppressLineNumbers w:val="0"/>
              <w:kinsoku/>
              <w:wordWrap/>
              <w:overflowPunct/>
              <w:topLinePunct w:val="0"/>
              <w:autoSpaceDE/>
              <w:autoSpaceDN/>
              <w:bidi w:val="0"/>
              <w:adjustRightInd/>
              <w:snapToGrid/>
              <w:spacing w:afterAutospacing="0" w:line="580" w:lineRule="exact"/>
              <w:jc w:val="left"/>
              <w:rPr>
                <w:rFonts w:hint="eastAsia" w:ascii="仿宋_GB2312" w:hAnsi="仿宋_GB2312" w:eastAsia="仿宋_GB2312" w:cs="仿宋_GB2312"/>
                <w:spacing w:val="0"/>
                <w:sz w:val="32"/>
                <w:szCs w:val="32"/>
                <w:vertAlign w:val="baseline"/>
              </w:rPr>
            </w:pPr>
            <w:r>
              <w:rPr>
                <w:rFonts w:hint="eastAsia" w:ascii="仿宋_GB2312" w:hAnsi="仿宋_GB2312" w:eastAsia="仿宋_GB2312" w:cs="仿宋_GB2312"/>
                <w:b/>
                <w:bCs/>
                <w:spacing w:val="0"/>
                <w:kern w:val="0"/>
                <w:sz w:val="32"/>
                <w:szCs w:val="32"/>
                <w:lang w:val="en-US" w:eastAsia="zh-CN" w:bidi="ar"/>
              </w:rPr>
              <w:t>4、普惠养老服务设施建设：</w:t>
            </w:r>
            <w:r>
              <w:rPr>
                <w:rFonts w:hint="eastAsia" w:ascii="仿宋_GB2312" w:hAnsi="仿宋_GB2312" w:eastAsia="仿宋_GB2312" w:cs="仿宋_GB2312"/>
                <w:spacing w:val="0"/>
                <w:kern w:val="2"/>
                <w:sz w:val="32"/>
                <w:szCs w:val="32"/>
                <w:lang w:val="en-US" w:eastAsia="zh-CN" w:bidi="ar"/>
              </w:rPr>
              <w:t>到2025年，力争每个街道至少建成2所具备综合功能的养老服务中心，有条件的大型社区积极建设具备社区居委会办公、社区养老、老年餐桌、日间照料等综合功能的社区养老服务中心。具有日间照料、文化娱乐、康复护理等综合服务功能的城市社区服务设施覆盖率达到100%，符合标准的老年人日间照料中心覆盖所有城市社区。</w:t>
            </w:r>
          </w:p>
        </w:tc>
      </w:tr>
    </w:tbl>
    <w:p>
      <w:pPr>
        <w:pStyle w:val="2"/>
        <w:keepNext w:val="0"/>
        <w:keepLines w:val="0"/>
        <w:pageBreakBefore w:val="0"/>
        <w:kinsoku/>
        <w:wordWrap/>
        <w:overflowPunct/>
        <w:topLinePunct w:val="0"/>
        <w:autoSpaceDE/>
        <w:autoSpaceDN/>
        <w:bidi w:val="0"/>
        <w:adjustRightInd/>
        <w:snapToGrid/>
        <w:spacing w:beforeAutospacing="0" w:afterAutospacing="0" w:line="580" w:lineRule="exact"/>
        <w:ind w:left="0" w:right="0" w:firstLine="0" w:firstLineChars="0"/>
        <w:jc w:val="center"/>
        <w:rPr>
          <w:rFonts w:hint="eastAsia" w:ascii="仿宋_GB2312" w:hAnsi="仿宋_GB2312" w:eastAsia="仿宋_GB2312" w:cs="仿宋_GB2312"/>
          <w:b/>
          <w:bCs/>
          <w:spacing w:val="0"/>
          <w:sz w:val="32"/>
          <w:szCs w:val="32"/>
          <w:lang w:eastAsia="zh-CN"/>
        </w:rPr>
      </w:pPr>
      <w:r>
        <w:rPr>
          <w:rFonts w:hint="eastAsia" w:ascii="仿宋_GB2312" w:hAnsi="仿宋_GB2312" w:eastAsia="仿宋_GB2312" w:cs="仿宋_GB2312"/>
          <w:b/>
          <w:bCs/>
          <w:spacing w:val="0"/>
          <w:sz w:val="32"/>
          <w:szCs w:val="32"/>
        </w:rPr>
        <w:t>第十</w:t>
      </w:r>
      <w:r>
        <w:rPr>
          <w:rFonts w:hint="eastAsia" w:ascii="仿宋_GB2312" w:hAnsi="仿宋_GB2312" w:eastAsia="仿宋_GB2312" w:cs="仿宋_GB2312"/>
          <w:b/>
          <w:bCs/>
          <w:spacing w:val="0"/>
          <w:sz w:val="32"/>
          <w:szCs w:val="32"/>
          <w:lang w:eastAsia="zh-CN"/>
        </w:rPr>
        <w:t>三</w:t>
      </w:r>
      <w:r>
        <w:rPr>
          <w:rFonts w:hint="eastAsia" w:ascii="仿宋_GB2312" w:hAnsi="仿宋_GB2312" w:eastAsia="仿宋_GB2312" w:cs="仿宋_GB2312"/>
          <w:b/>
          <w:bCs/>
          <w:spacing w:val="0"/>
          <w:sz w:val="32"/>
          <w:szCs w:val="32"/>
        </w:rPr>
        <w:t>章</w:t>
      </w:r>
      <w:r>
        <w:rPr>
          <w:rFonts w:hint="eastAsia" w:ascii="仿宋_GB2312" w:hAnsi="仿宋_GB2312" w:eastAsia="仿宋_GB2312" w:cs="仿宋_GB2312"/>
          <w:b/>
          <w:bCs/>
          <w:spacing w:val="0"/>
          <w:sz w:val="32"/>
          <w:szCs w:val="32"/>
          <w:lang w:val="en-US" w:eastAsia="zh-CN"/>
        </w:rPr>
        <w:t xml:space="preserve"> </w:t>
      </w:r>
      <w:r>
        <w:rPr>
          <w:rFonts w:hint="eastAsia" w:ascii="仿宋_GB2312" w:hAnsi="仿宋_GB2312" w:eastAsia="仿宋_GB2312" w:cs="仿宋_GB2312"/>
          <w:b/>
          <w:bCs/>
          <w:spacing w:val="0"/>
          <w:sz w:val="32"/>
          <w:szCs w:val="32"/>
        </w:rPr>
        <w:t>保障</w:t>
      </w:r>
      <w:r>
        <w:rPr>
          <w:rFonts w:hint="eastAsia" w:ascii="仿宋_GB2312" w:hAnsi="仿宋_GB2312" w:eastAsia="仿宋_GB2312" w:cs="仿宋_GB2312"/>
          <w:b/>
          <w:bCs/>
          <w:spacing w:val="0"/>
          <w:sz w:val="32"/>
          <w:szCs w:val="32"/>
          <w:lang w:eastAsia="zh-CN"/>
        </w:rPr>
        <w:t>措施</w:t>
      </w:r>
    </w:p>
    <w:p>
      <w:pPr>
        <w:pStyle w:val="2"/>
        <w:keepNext w:val="0"/>
        <w:keepLines w:val="0"/>
        <w:pageBreakBefore w:val="0"/>
        <w:kinsoku/>
        <w:wordWrap/>
        <w:overflowPunct/>
        <w:topLinePunct w:val="0"/>
        <w:autoSpaceDE/>
        <w:autoSpaceDN/>
        <w:bidi w:val="0"/>
        <w:adjustRightInd/>
        <w:snapToGrid/>
        <w:spacing w:beforeAutospacing="0" w:afterAutospacing="0" w:line="580" w:lineRule="exact"/>
        <w:ind w:left="0" w:right="0" w:firstLine="0" w:firstLineChars="0"/>
        <w:rPr>
          <w:rFonts w:hint="eastAsia" w:ascii="仿宋_GB2312" w:hAnsi="仿宋_GB2312" w:eastAsia="仿宋_GB2312" w:cs="仿宋_GB2312"/>
          <w:spacing w:val="0"/>
          <w:sz w:val="32"/>
          <w:szCs w:val="32"/>
        </w:rPr>
      </w:pPr>
    </w:p>
    <w:p>
      <w:pPr>
        <w:pStyle w:val="2"/>
        <w:keepNext w:val="0"/>
        <w:keepLines w:val="0"/>
        <w:pageBreakBefore w:val="0"/>
        <w:kinsoku/>
        <w:wordWrap/>
        <w:overflowPunct/>
        <w:topLinePunct w:val="0"/>
        <w:autoSpaceDE/>
        <w:autoSpaceDN/>
        <w:bidi w:val="0"/>
        <w:adjustRightInd/>
        <w:snapToGrid/>
        <w:spacing w:beforeAutospacing="0" w:afterAutospacing="0" w:line="580" w:lineRule="exact"/>
        <w:ind w:left="0" w:right="0" w:firstLine="648"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坚持党的全面领导，更好履行政府职责，完善规划实施机制，强化发展要素保障，统筹推进各项重点任务，广泛凝聚全社会共识和力量，</w:t>
      </w:r>
      <w:r>
        <w:rPr>
          <w:rFonts w:hint="eastAsia" w:ascii="仿宋_GB2312" w:hAnsi="仿宋_GB2312" w:eastAsia="仿宋_GB2312" w:cs="仿宋_GB2312"/>
          <w:spacing w:val="0"/>
          <w:sz w:val="32"/>
          <w:szCs w:val="32"/>
          <w:lang w:eastAsia="zh-CN"/>
        </w:rPr>
        <w:t>共同</w:t>
      </w:r>
      <w:r>
        <w:rPr>
          <w:rFonts w:hint="eastAsia" w:ascii="仿宋_GB2312" w:hAnsi="仿宋_GB2312" w:eastAsia="仿宋_GB2312" w:cs="仿宋_GB2312"/>
          <w:spacing w:val="0"/>
          <w:sz w:val="32"/>
          <w:szCs w:val="32"/>
        </w:rPr>
        <w:t>推动</w:t>
      </w:r>
      <w:r>
        <w:rPr>
          <w:rFonts w:hint="eastAsia" w:ascii="仿宋_GB2312" w:hAnsi="仿宋_GB2312" w:eastAsia="仿宋_GB2312" w:cs="仿宋_GB2312"/>
          <w:spacing w:val="0"/>
          <w:sz w:val="32"/>
          <w:szCs w:val="32"/>
          <w:lang w:eastAsia="zh-CN"/>
        </w:rPr>
        <w:t>现代化区域</w:t>
      </w:r>
      <w:r>
        <w:rPr>
          <w:rFonts w:hint="eastAsia" w:ascii="仿宋_GB2312" w:hAnsi="仿宋_GB2312" w:eastAsia="仿宋_GB2312" w:cs="仿宋_GB2312"/>
          <w:spacing w:val="0"/>
          <w:sz w:val="32"/>
          <w:szCs w:val="32"/>
        </w:rPr>
        <w:t>中心城市建设。</w:t>
      </w:r>
    </w:p>
    <w:p>
      <w:pPr>
        <w:pStyle w:val="3"/>
        <w:keepNext w:val="0"/>
        <w:keepLines w:val="0"/>
        <w:pageBreakBefore w:val="0"/>
        <w:kinsoku/>
        <w:wordWrap/>
        <w:overflowPunct/>
        <w:topLinePunct w:val="0"/>
        <w:autoSpaceDE/>
        <w:autoSpaceDN/>
        <w:bidi w:val="0"/>
        <w:adjustRightInd/>
        <w:snapToGrid/>
        <w:spacing w:beforeAutospacing="0" w:afterAutospacing="0" w:line="580" w:lineRule="exact"/>
        <w:ind w:left="0" w:right="0" w:firstLine="0" w:firstLineChars="0"/>
        <w:rPr>
          <w:rFonts w:hint="eastAsia" w:ascii="仿宋_GB2312" w:hAnsi="仿宋_GB2312" w:eastAsia="仿宋_GB2312" w:cs="仿宋_GB2312"/>
          <w:spacing w:val="0"/>
          <w:sz w:val="32"/>
          <w:szCs w:val="32"/>
        </w:rPr>
      </w:pPr>
      <w:bookmarkStart w:id="12" w:name="_bookmark54"/>
      <w:bookmarkEnd w:id="12"/>
      <w:bookmarkStart w:id="13" w:name="第一节  坚持党的全面领导"/>
      <w:bookmarkEnd w:id="13"/>
      <w:r>
        <w:rPr>
          <w:rFonts w:hint="eastAsia" w:ascii="仿宋_GB2312" w:hAnsi="仿宋_GB2312" w:eastAsia="仿宋_GB2312" w:cs="仿宋_GB2312"/>
          <w:spacing w:val="0"/>
          <w:sz w:val="32"/>
          <w:szCs w:val="32"/>
        </w:rPr>
        <w:t>第一节</w:t>
      </w:r>
      <w:r>
        <w:rPr>
          <w:rFonts w:hint="eastAsia" w:ascii="仿宋_GB2312" w:hAnsi="仿宋_GB2312" w:eastAsia="仿宋_GB2312" w:cs="仿宋_GB2312"/>
          <w:spacing w:val="0"/>
          <w:w w:val="150"/>
          <w:sz w:val="32"/>
          <w:szCs w:val="32"/>
        </w:rPr>
        <w:t xml:space="preserve"> </w:t>
      </w:r>
      <w:r>
        <w:rPr>
          <w:rFonts w:hint="eastAsia" w:ascii="仿宋_GB2312" w:hAnsi="仿宋_GB2312" w:eastAsia="仿宋_GB2312" w:cs="仿宋_GB2312"/>
          <w:spacing w:val="0"/>
          <w:sz w:val="32"/>
          <w:szCs w:val="32"/>
        </w:rPr>
        <w:t>坚持党的领导</w:t>
      </w:r>
    </w:p>
    <w:p>
      <w:pPr>
        <w:pStyle w:val="2"/>
        <w:keepNext w:val="0"/>
        <w:keepLines w:val="0"/>
        <w:pageBreakBefore w:val="0"/>
        <w:kinsoku/>
        <w:wordWrap/>
        <w:overflowPunct/>
        <w:topLinePunct w:val="0"/>
        <w:autoSpaceDE/>
        <w:autoSpaceDN/>
        <w:bidi w:val="0"/>
        <w:adjustRightInd/>
        <w:snapToGrid/>
        <w:spacing w:beforeAutospacing="0" w:afterAutospacing="0" w:line="580" w:lineRule="exact"/>
        <w:ind w:left="0" w:right="0" w:firstLine="0" w:firstLineChars="0"/>
        <w:rPr>
          <w:rFonts w:hint="eastAsia" w:ascii="仿宋_GB2312" w:hAnsi="仿宋_GB2312" w:eastAsia="仿宋_GB2312" w:cs="仿宋_GB2312"/>
          <w:b/>
          <w:spacing w:val="0"/>
          <w:sz w:val="32"/>
          <w:szCs w:val="32"/>
        </w:rPr>
      </w:pPr>
    </w:p>
    <w:p>
      <w:pPr>
        <w:pStyle w:val="2"/>
        <w:keepNext w:val="0"/>
        <w:keepLines w:val="0"/>
        <w:pageBreakBefore w:val="0"/>
        <w:kinsoku/>
        <w:wordWrap/>
        <w:overflowPunct/>
        <w:topLinePunct w:val="0"/>
        <w:autoSpaceDE/>
        <w:autoSpaceDN/>
        <w:bidi w:val="0"/>
        <w:adjustRightInd/>
        <w:snapToGrid/>
        <w:spacing w:beforeAutospacing="0" w:afterAutospacing="0" w:line="580" w:lineRule="exact"/>
        <w:ind w:left="0" w:right="0" w:firstLine="648" w:firstLineChars="200"/>
        <w:jc w:val="both"/>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全面、系统、整体落实党中央的集中统一领导。贯彻党把方向、谋大局、定政策、促改革的要求，把党的领导贯穿规划实施的各领域和全过程，确保</w:t>
      </w:r>
      <w:r>
        <w:rPr>
          <w:rFonts w:hint="eastAsia" w:ascii="仿宋_GB2312" w:hAnsi="仿宋_GB2312" w:eastAsia="仿宋_GB2312" w:cs="仿宋_GB2312"/>
          <w:spacing w:val="0"/>
          <w:sz w:val="32"/>
          <w:szCs w:val="32"/>
          <w:lang w:eastAsia="zh-CN"/>
        </w:rPr>
        <w:t>驻马店现代化区域</w:t>
      </w:r>
      <w:r>
        <w:rPr>
          <w:rFonts w:hint="eastAsia" w:ascii="仿宋_GB2312" w:hAnsi="仿宋_GB2312" w:eastAsia="仿宋_GB2312" w:cs="仿宋_GB2312"/>
          <w:spacing w:val="0"/>
          <w:sz w:val="32"/>
          <w:szCs w:val="32"/>
        </w:rPr>
        <w:t>中心城市建设正确方向，确保拥有团结奋斗的强大政治凝聚力、发展自信心，集聚起万众一心、共克时艰的磅礴力量。落实全面从严治党主体责任、监督责任，以政治建设为统领，增强“四个意识”、坚定“四个自信”、做到“两个维护”，不断提高政治判断力、政治领悟力、政治执行力，不断提高把握新发展阶段、贯彻新发展理念、构建新发展格局的政治能力、战略眼光、专业水平，确保党中央决策部署</w:t>
      </w:r>
      <w:r>
        <w:rPr>
          <w:rFonts w:hint="eastAsia" w:ascii="仿宋_GB2312" w:hAnsi="仿宋_GB2312" w:eastAsia="仿宋_GB2312" w:cs="仿宋_GB2312"/>
          <w:spacing w:val="0"/>
          <w:sz w:val="32"/>
          <w:szCs w:val="32"/>
          <w:lang w:eastAsia="zh-CN"/>
        </w:rPr>
        <w:t>和楼阳生书记讲话精神</w:t>
      </w:r>
      <w:r>
        <w:rPr>
          <w:rFonts w:hint="eastAsia" w:ascii="仿宋_GB2312" w:hAnsi="仿宋_GB2312" w:eastAsia="仿宋_GB2312" w:cs="仿宋_GB2312"/>
          <w:spacing w:val="0"/>
          <w:sz w:val="32"/>
          <w:szCs w:val="32"/>
        </w:rPr>
        <w:t>落到实处。加强高素质专业化干部队伍建设，优化干部队伍结构，严把政治关、廉洁关和素质能力关，健全激励导向的绩效评价考核机制和容新容错机制，对各责任单位在探索创新过程中出现失误或偏差，符合容错条件的，可以予以免责或减轻责任，为担当者担当、为负责者负责、为干事者撑腰。提高各级领导班子和干部贯彻落实新发展理念、构建新发展格局的能力和水平。</w:t>
      </w:r>
    </w:p>
    <w:p>
      <w:pPr>
        <w:pStyle w:val="3"/>
        <w:keepNext w:val="0"/>
        <w:keepLines w:val="0"/>
        <w:pageBreakBefore w:val="0"/>
        <w:kinsoku/>
        <w:wordWrap/>
        <w:overflowPunct/>
        <w:topLinePunct w:val="0"/>
        <w:autoSpaceDE/>
        <w:autoSpaceDN/>
        <w:bidi w:val="0"/>
        <w:adjustRightInd/>
        <w:snapToGrid/>
        <w:spacing w:beforeAutospacing="0" w:afterAutospacing="0" w:line="580" w:lineRule="exact"/>
        <w:ind w:left="0" w:right="0" w:firstLine="0" w:firstLineChars="0"/>
        <w:rPr>
          <w:rFonts w:hint="eastAsia" w:ascii="仿宋_GB2312" w:hAnsi="仿宋_GB2312" w:eastAsia="仿宋_GB2312" w:cs="仿宋_GB2312"/>
          <w:spacing w:val="0"/>
          <w:sz w:val="32"/>
          <w:szCs w:val="32"/>
        </w:rPr>
      </w:pPr>
      <w:bookmarkStart w:id="14" w:name="_bookmark55"/>
      <w:bookmarkEnd w:id="14"/>
      <w:bookmarkStart w:id="15" w:name="第二节  完善规划实施机制"/>
      <w:bookmarkEnd w:id="15"/>
      <w:r>
        <w:rPr>
          <w:rFonts w:hint="eastAsia" w:ascii="仿宋_GB2312" w:hAnsi="仿宋_GB2312" w:eastAsia="仿宋_GB2312" w:cs="仿宋_GB2312"/>
          <w:spacing w:val="0"/>
          <w:sz w:val="32"/>
          <w:szCs w:val="32"/>
        </w:rPr>
        <w:t>第二节</w:t>
      </w:r>
      <w:r>
        <w:rPr>
          <w:rFonts w:hint="eastAsia" w:ascii="仿宋_GB2312" w:hAnsi="仿宋_GB2312" w:eastAsia="仿宋_GB2312" w:cs="仿宋_GB2312"/>
          <w:spacing w:val="0"/>
          <w:w w:val="150"/>
          <w:sz w:val="32"/>
          <w:szCs w:val="32"/>
        </w:rPr>
        <w:t xml:space="preserve"> </w:t>
      </w:r>
      <w:r>
        <w:rPr>
          <w:rFonts w:hint="eastAsia" w:ascii="仿宋_GB2312" w:hAnsi="仿宋_GB2312" w:eastAsia="仿宋_GB2312" w:cs="仿宋_GB2312"/>
          <w:spacing w:val="0"/>
          <w:sz w:val="32"/>
          <w:szCs w:val="32"/>
        </w:rPr>
        <w:t>完善规划机制</w:t>
      </w:r>
    </w:p>
    <w:p>
      <w:pPr>
        <w:pStyle w:val="2"/>
        <w:keepNext w:val="0"/>
        <w:keepLines w:val="0"/>
        <w:pageBreakBefore w:val="0"/>
        <w:kinsoku/>
        <w:wordWrap/>
        <w:overflowPunct/>
        <w:topLinePunct w:val="0"/>
        <w:autoSpaceDE/>
        <w:autoSpaceDN/>
        <w:bidi w:val="0"/>
        <w:adjustRightInd/>
        <w:snapToGrid/>
        <w:spacing w:beforeAutospacing="0" w:afterAutospacing="0" w:line="580" w:lineRule="exact"/>
        <w:ind w:left="0" w:right="0" w:firstLine="0" w:firstLineChars="0"/>
        <w:rPr>
          <w:rFonts w:hint="eastAsia" w:ascii="仿宋_GB2312" w:hAnsi="仿宋_GB2312" w:eastAsia="仿宋_GB2312" w:cs="仿宋_GB2312"/>
          <w:b/>
          <w:spacing w:val="0"/>
          <w:sz w:val="32"/>
          <w:szCs w:val="32"/>
        </w:rPr>
      </w:pPr>
    </w:p>
    <w:p>
      <w:pPr>
        <w:keepNext w:val="0"/>
        <w:keepLines w:val="0"/>
        <w:widowControl/>
        <w:suppressLineNumbers w:val="0"/>
        <w:jc w:val="left"/>
        <w:rPr>
          <w:rFonts w:hint="eastAsia" w:ascii="仿宋_GB2312" w:hAnsi="仿宋_GB2312" w:eastAsia="仿宋_GB2312" w:cs="仿宋_GB2312"/>
          <w:spacing w:val="0"/>
          <w:w w:val="99"/>
          <w:sz w:val="32"/>
          <w:szCs w:val="32"/>
        </w:rPr>
      </w:pPr>
      <w:r>
        <w:rPr>
          <w:rFonts w:hint="eastAsia" w:ascii="仿宋_GB2312" w:hAnsi="仿宋_GB2312" w:eastAsia="仿宋_GB2312" w:cs="仿宋_GB2312"/>
          <w:spacing w:val="0"/>
          <w:w w:val="99"/>
          <w:sz w:val="32"/>
          <w:szCs w:val="32"/>
        </w:rPr>
        <w:t>加强总体设计，加强形势研判，</w:t>
      </w:r>
      <w:r>
        <w:rPr>
          <w:rFonts w:hint="eastAsia" w:ascii="仿宋" w:hAnsi="仿宋" w:eastAsia="仿宋" w:cs="仿宋"/>
          <w:kern w:val="0"/>
          <w:sz w:val="32"/>
          <w:szCs w:val="32"/>
          <w:lang w:val="en-US" w:eastAsia="zh-CN" w:bidi="ar"/>
        </w:rPr>
        <w:t>建立健全联席会议制度和</w:t>
      </w:r>
      <w:r>
        <w:rPr>
          <w:rFonts w:hint="eastAsia" w:ascii="仿宋_GB2312" w:hAnsi="仿宋_GB2312" w:eastAsia="仿宋_GB2312" w:cs="仿宋_GB2312"/>
          <w:spacing w:val="0"/>
          <w:w w:val="99"/>
          <w:sz w:val="32"/>
          <w:szCs w:val="32"/>
        </w:rPr>
        <w:t>协调机制，研究审议重大规划、重大政策、重大项目，督促落实重大事项，务实推进规划的贯彻实施。各</w:t>
      </w:r>
      <w:r>
        <w:rPr>
          <w:rFonts w:hint="eastAsia" w:ascii="仿宋_GB2312" w:hAnsi="仿宋_GB2312" w:eastAsia="仿宋_GB2312" w:cs="仿宋_GB2312"/>
          <w:spacing w:val="0"/>
          <w:w w:val="99"/>
          <w:sz w:val="32"/>
          <w:szCs w:val="32"/>
          <w:lang w:eastAsia="zh-CN"/>
        </w:rPr>
        <w:t>县区、各部门按照各自职责分工，</w:t>
      </w:r>
      <w:r>
        <w:rPr>
          <w:rFonts w:hint="eastAsia" w:ascii="仿宋_GB2312" w:hAnsi="仿宋_GB2312" w:eastAsia="仿宋_GB2312" w:cs="仿宋_GB2312"/>
          <w:spacing w:val="0"/>
          <w:w w:val="99"/>
          <w:sz w:val="32"/>
          <w:szCs w:val="32"/>
        </w:rPr>
        <w:t>要</w:t>
      </w:r>
      <w:r>
        <w:rPr>
          <w:rFonts w:hint="eastAsia" w:ascii="仿宋_GB2312" w:hAnsi="仿宋_GB2312" w:eastAsia="仿宋_GB2312" w:cs="仿宋_GB2312"/>
          <w:spacing w:val="0"/>
          <w:w w:val="99"/>
          <w:sz w:val="32"/>
          <w:szCs w:val="32"/>
          <w:lang w:eastAsia="zh-CN"/>
        </w:rPr>
        <w:t>强化责任担当，</w:t>
      </w:r>
      <w:r>
        <w:rPr>
          <w:rFonts w:hint="eastAsia" w:ascii="仿宋_GB2312" w:hAnsi="仿宋_GB2312" w:eastAsia="仿宋_GB2312" w:cs="仿宋_GB2312"/>
          <w:spacing w:val="0"/>
          <w:w w:val="99"/>
          <w:sz w:val="32"/>
          <w:szCs w:val="32"/>
        </w:rPr>
        <w:t>制定完善相关</w:t>
      </w:r>
      <w:r>
        <w:rPr>
          <w:rFonts w:hint="eastAsia" w:ascii="仿宋_GB2312" w:hAnsi="仿宋_GB2312" w:eastAsia="仿宋_GB2312" w:cs="仿宋_GB2312"/>
          <w:spacing w:val="0"/>
          <w:w w:val="99"/>
          <w:sz w:val="32"/>
          <w:szCs w:val="32"/>
          <w:lang w:eastAsia="zh-CN"/>
        </w:rPr>
        <w:t>推进措施</w:t>
      </w:r>
      <w:r>
        <w:rPr>
          <w:rFonts w:hint="eastAsia" w:ascii="仿宋_GB2312" w:hAnsi="仿宋_GB2312" w:eastAsia="仿宋_GB2312" w:cs="仿宋_GB2312"/>
          <w:spacing w:val="0"/>
          <w:w w:val="99"/>
          <w:sz w:val="32"/>
          <w:szCs w:val="32"/>
        </w:rPr>
        <w:t>，形成协同推进整体合力</w:t>
      </w:r>
      <w:r>
        <w:rPr>
          <w:rFonts w:hint="eastAsia" w:ascii="仿宋_GB2312" w:hAnsi="仿宋_GB2312" w:eastAsia="仿宋_GB2312" w:cs="仿宋_GB2312"/>
          <w:spacing w:val="0"/>
          <w:w w:val="99"/>
          <w:sz w:val="32"/>
          <w:szCs w:val="32"/>
          <w:lang w:eastAsia="zh-CN"/>
        </w:rPr>
        <w:t>，</w:t>
      </w:r>
      <w:r>
        <w:rPr>
          <w:rFonts w:hint="eastAsia" w:ascii="仿宋" w:hAnsi="仿宋" w:eastAsia="仿宋" w:cs="仿宋"/>
          <w:kern w:val="0"/>
          <w:sz w:val="32"/>
          <w:szCs w:val="32"/>
          <w:lang w:val="en-US" w:eastAsia="zh-CN" w:bidi="ar"/>
        </w:rPr>
        <w:t>确保各项重点任务、项目有序有力推进；同时要</w:t>
      </w:r>
      <w:r>
        <w:rPr>
          <w:rFonts w:hint="eastAsia" w:ascii="仿宋_GB2312" w:hAnsi="仿宋_GB2312" w:eastAsia="仿宋_GB2312" w:cs="仿宋_GB2312"/>
          <w:spacing w:val="0"/>
          <w:w w:val="99"/>
          <w:sz w:val="32"/>
          <w:szCs w:val="32"/>
          <w:lang w:eastAsia="zh-CN"/>
        </w:rPr>
        <w:t>严格</w:t>
      </w:r>
      <w:r>
        <w:rPr>
          <w:rFonts w:hint="eastAsia" w:ascii="仿宋_GB2312" w:hAnsi="仿宋_GB2312" w:eastAsia="仿宋_GB2312" w:cs="仿宋_GB2312"/>
          <w:spacing w:val="0"/>
          <w:w w:val="99"/>
          <w:sz w:val="32"/>
          <w:szCs w:val="32"/>
        </w:rPr>
        <w:t>落实“13710”工作制度，实施年中评估、年度考核，加强督导考评，健全奖惩机制，闭环高效抓</w:t>
      </w:r>
      <w:r>
        <w:rPr>
          <w:rFonts w:hint="eastAsia" w:ascii="仿宋_GB2312" w:hAnsi="仿宋_GB2312" w:eastAsia="仿宋_GB2312" w:cs="仿宋_GB2312"/>
          <w:spacing w:val="0"/>
          <w:w w:val="99"/>
          <w:sz w:val="32"/>
          <w:szCs w:val="32"/>
          <w:lang w:eastAsia="zh-CN"/>
        </w:rPr>
        <w:t>好</w:t>
      </w:r>
      <w:r>
        <w:rPr>
          <w:rFonts w:hint="eastAsia" w:ascii="仿宋_GB2312" w:hAnsi="仿宋_GB2312" w:eastAsia="仿宋_GB2312" w:cs="仿宋_GB2312"/>
          <w:spacing w:val="0"/>
          <w:w w:val="99"/>
          <w:sz w:val="32"/>
          <w:szCs w:val="32"/>
        </w:rPr>
        <w:t>落实。</w:t>
      </w:r>
    </w:p>
    <w:p>
      <w:pPr>
        <w:pStyle w:val="2"/>
        <w:keepNext w:val="0"/>
        <w:keepLines w:val="0"/>
        <w:pageBreakBefore w:val="0"/>
        <w:kinsoku/>
        <w:wordWrap/>
        <w:overflowPunct/>
        <w:topLinePunct w:val="0"/>
        <w:autoSpaceDE/>
        <w:autoSpaceDN/>
        <w:bidi w:val="0"/>
        <w:adjustRightInd/>
        <w:snapToGrid/>
        <w:spacing w:beforeAutospacing="0" w:afterAutospacing="0" w:line="580" w:lineRule="exact"/>
        <w:ind w:left="0" w:right="0" w:firstLine="640" w:firstLineChars="200"/>
        <w:rPr>
          <w:rFonts w:hint="eastAsia" w:ascii="仿宋_GB2312" w:hAnsi="仿宋_GB2312" w:eastAsia="仿宋_GB2312" w:cs="仿宋_GB2312"/>
          <w:spacing w:val="0"/>
          <w:w w:val="99"/>
          <w:sz w:val="32"/>
          <w:szCs w:val="32"/>
        </w:rPr>
      </w:pPr>
    </w:p>
    <w:p>
      <w:pPr>
        <w:pStyle w:val="3"/>
        <w:keepNext w:val="0"/>
        <w:keepLines w:val="0"/>
        <w:pageBreakBefore w:val="0"/>
        <w:kinsoku/>
        <w:wordWrap/>
        <w:overflowPunct/>
        <w:topLinePunct w:val="0"/>
        <w:autoSpaceDE/>
        <w:autoSpaceDN/>
        <w:bidi w:val="0"/>
        <w:adjustRightInd/>
        <w:snapToGrid/>
        <w:spacing w:beforeAutospacing="0" w:afterAutospacing="0" w:line="580" w:lineRule="exact"/>
        <w:ind w:left="0" w:right="0" w:firstLine="0" w:firstLineChars="0"/>
        <w:jc w:val="center"/>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第三节</w:t>
      </w:r>
      <w:r>
        <w:rPr>
          <w:rFonts w:hint="eastAsia" w:ascii="仿宋_GB2312" w:hAnsi="仿宋_GB2312" w:eastAsia="仿宋_GB2312" w:cs="仿宋_GB2312"/>
          <w:spacing w:val="0"/>
          <w:w w:val="150"/>
          <w:sz w:val="32"/>
          <w:szCs w:val="32"/>
        </w:rPr>
        <w:t xml:space="preserve"> </w:t>
      </w:r>
      <w:r>
        <w:rPr>
          <w:rFonts w:hint="eastAsia" w:ascii="仿宋_GB2312" w:hAnsi="仿宋_GB2312" w:eastAsia="仿宋_GB2312" w:cs="仿宋_GB2312"/>
          <w:spacing w:val="0"/>
          <w:sz w:val="32"/>
          <w:szCs w:val="32"/>
        </w:rPr>
        <w:t>强化要素保障</w:t>
      </w:r>
    </w:p>
    <w:p>
      <w:pPr>
        <w:pStyle w:val="2"/>
        <w:keepNext w:val="0"/>
        <w:keepLines w:val="0"/>
        <w:pageBreakBefore w:val="0"/>
        <w:kinsoku/>
        <w:wordWrap/>
        <w:overflowPunct/>
        <w:topLinePunct w:val="0"/>
        <w:autoSpaceDE/>
        <w:autoSpaceDN/>
        <w:bidi w:val="0"/>
        <w:adjustRightInd/>
        <w:snapToGrid/>
        <w:spacing w:beforeAutospacing="0" w:afterAutospacing="0" w:line="580" w:lineRule="exact"/>
        <w:ind w:left="0" w:right="0" w:firstLine="648"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创新财政金融支持政策，推动设立产业发展基金，争取省级科创类政府投资资金、新兴产业投资引导基金、创业投资引导基金对</w:t>
      </w:r>
      <w:r>
        <w:rPr>
          <w:rFonts w:hint="eastAsia" w:ascii="仿宋_GB2312" w:hAnsi="仿宋_GB2312" w:eastAsia="仿宋_GB2312" w:cs="仿宋_GB2312"/>
          <w:spacing w:val="0"/>
          <w:sz w:val="32"/>
          <w:szCs w:val="32"/>
          <w:lang w:eastAsia="zh-CN"/>
        </w:rPr>
        <w:t>我市</w:t>
      </w:r>
      <w:r>
        <w:rPr>
          <w:rFonts w:hint="eastAsia" w:ascii="仿宋_GB2312" w:hAnsi="仿宋_GB2312" w:eastAsia="仿宋_GB2312" w:cs="仿宋_GB2312"/>
          <w:spacing w:val="0"/>
          <w:sz w:val="32"/>
          <w:szCs w:val="32"/>
        </w:rPr>
        <w:t>优质项目支持力度。加大一般转移支付和专项转移支付、政府一般债券和专项债券倾斜支持力度</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加强自然资源要素支撑。争取省委省政府在土地利用计划指标、补充耕地指标、林地定额指标等方面给予更大的倾斜支持，优先安排富余补充耕地指标在省域内交易。开展全域土地综合整治试点，优化农村各类产业用地布局，对耕地保护成效显著的县区争取省财政资金倾斜支持。</w:t>
      </w:r>
    </w:p>
    <w:p>
      <w:pPr>
        <w:pStyle w:val="3"/>
        <w:keepNext w:val="0"/>
        <w:keepLines w:val="0"/>
        <w:pageBreakBefore w:val="0"/>
        <w:kinsoku/>
        <w:wordWrap/>
        <w:overflowPunct/>
        <w:topLinePunct w:val="0"/>
        <w:autoSpaceDE/>
        <w:autoSpaceDN/>
        <w:bidi w:val="0"/>
        <w:adjustRightInd/>
        <w:snapToGrid/>
        <w:spacing w:beforeAutospacing="0" w:afterAutospacing="0" w:line="240" w:lineRule="auto"/>
        <w:ind w:left="0" w:right="0" w:firstLine="0" w:firstLineChars="0"/>
        <w:rPr>
          <w:rFonts w:hint="eastAsia" w:ascii="仿宋_GB2312" w:hAnsi="仿宋_GB2312" w:eastAsia="仿宋_GB2312" w:cs="仿宋_GB2312"/>
          <w:spacing w:val="0"/>
          <w:sz w:val="32"/>
          <w:szCs w:val="32"/>
        </w:rPr>
      </w:pPr>
      <w:bookmarkStart w:id="16" w:name="第四节  营造良好社会氛围"/>
      <w:bookmarkEnd w:id="16"/>
      <w:bookmarkStart w:id="17" w:name="_bookmark57"/>
      <w:bookmarkEnd w:id="17"/>
      <w:r>
        <w:rPr>
          <w:rFonts w:hint="eastAsia" w:ascii="仿宋_GB2312" w:hAnsi="仿宋_GB2312" w:eastAsia="仿宋_GB2312" w:cs="仿宋_GB2312"/>
          <w:spacing w:val="0"/>
          <w:sz w:val="32"/>
          <w:szCs w:val="32"/>
        </w:rPr>
        <w:t>第四节</w:t>
      </w:r>
      <w:r>
        <w:rPr>
          <w:rFonts w:hint="eastAsia" w:ascii="仿宋_GB2312" w:hAnsi="仿宋_GB2312" w:eastAsia="仿宋_GB2312" w:cs="仿宋_GB2312"/>
          <w:spacing w:val="0"/>
          <w:w w:val="150"/>
          <w:sz w:val="32"/>
          <w:szCs w:val="32"/>
        </w:rPr>
        <w:t xml:space="preserve"> </w:t>
      </w:r>
      <w:r>
        <w:rPr>
          <w:rFonts w:hint="eastAsia" w:ascii="仿宋_GB2312" w:hAnsi="仿宋_GB2312" w:eastAsia="仿宋_GB2312" w:cs="仿宋_GB2312"/>
          <w:spacing w:val="0"/>
          <w:sz w:val="32"/>
          <w:szCs w:val="32"/>
        </w:rPr>
        <w:t>营造良好</w:t>
      </w:r>
      <w:bookmarkStart w:id="22" w:name="_GoBack"/>
      <w:bookmarkEnd w:id="22"/>
      <w:r>
        <w:rPr>
          <w:rFonts w:hint="eastAsia" w:ascii="仿宋_GB2312" w:hAnsi="仿宋_GB2312" w:eastAsia="仿宋_GB2312" w:cs="仿宋_GB2312"/>
          <w:spacing w:val="0"/>
          <w:sz w:val="32"/>
          <w:szCs w:val="32"/>
        </w:rPr>
        <w:t>氛围</w:t>
      </w:r>
    </w:p>
    <w:p>
      <w:pPr>
        <w:pStyle w:val="2"/>
        <w:keepNext w:val="0"/>
        <w:keepLines w:val="0"/>
        <w:pageBreakBefore w:val="0"/>
        <w:kinsoku/>
        <w:wordWrap/>
        <w:overflowPunct/>
        <w:topLinePunct w:val="0"/>
        <w:autoSpaceDE/>
        <w:autoSpaceDN/>
        <w:bidi w:val="0"/>
        <w:adjustRightInd/>
        <w:snapToGrid/>
        <w:spacing w:beforeAutospacing="0" w:afterAutospacing="0" w:line="580" w:lineRule="exact"/>
        <w:ind w:left="0" w:right="0" w:firstLine="648" w:firstLineChars="200"/>
        <w:rPr>
          <w:rFonts w:hint="eastAsia" w:ascii="仿宋" w:hAnsi="仿宋" w:eastAsia="仿宋_GB2312" w:cs="仿宋"/>
          <w:color w:val="auto"/>
          <w:sz w:val="32"/>
          <w:szCs w:val="32"/>
          <w:lang w:eastAsia="zh-CN"/>
        </w:rPr>
        <w:sectPr>
          <w:footerReference r:id="rId3" w:type="default"/>
          <w:pgSz w:w="11911" w:h="16838"/>
          <w:pgMar w:top="1984" w:right="1417" w:bottom="1814" w:left="1587" w:header="0" w:footer="1191" w:gutter="0"/>
          <w:pgNumType w:fmt="decimal"/>
          <w:cols w:space="0" w:num="1"/>
          <w:rtlGutter w:val="0"/>
          <w:docGrid w:type="linesAndChars" w:linePitch="286" w:charSpace="981"/>
        </w:sectPr>
      </w:pPr>
      <w:r>
        <w:rPr>
          <w:rFonts w:hint="eastAsia" w:ascii="仿宋_GB2312" w:hAnsi="仿宋_GB2312" w:eastAsia="仿宋_GB2312" w:cs="仿宋_GB2312"/>
          <w:spacing w:val="0"/>
          <w:sz w:val="32"/>
          <w:szCs w:val="32"/>
        </w:rPr>
        <w:t>加强新闻宣传和舆论引导，做好规划及相关配套政策解读，引导全社会积极参与</w:t>
      </w:r>
      <w:r>
        <w:rPr>
          <w:rFonts w:hint="eastAsia" w:ascii="仿宋_GB2312" w:hAnsi="仿宋_GB2312" w:eastAsia="仿宋_GB2312" w:cs="仿宋_GB2312"/>
          <w:spacing w:val="0"/>
          <w:sz w:val="32"/>
          <w:szCs w:val="32"/>
          <w:lang w:eastAsia="zh-CN"/>
        </w:rPr>
        <w:t>现代化区域</w:t>
      </w:r>
      <w:r>
        <w:rPr>
          <w:rFonts w:hint="eastAsia" w:ascii="仿宋_GB2312" w:hAnsi="仿宋_GB2312" w:eastAsia="仿宋_GB2312" w:cs="仿宋_GB2312"/>
          <w:spacing w:val="0"/>
          <w:sz w:val="32"/>
          <w:szCs w:val="32"/>
        </w:rPr>
        <w:t>中心城市建设。鼓励科研院所和高等院校开展</w:t>
      </w:r>
      <w:r>
        <w:rPr>
          <w:rFonts w:hint="eastAsia" w:ascii="仿宋_GB2312" w:hAnsi="仿宋_GB2312" w:eastAsia="仿宋_GB2312" w:cs="仿宋_GB2312"/>
          <w:spacing w:val="0"/>
          <w:sz w:val="32"/>
          <w:szCs w:val="32"/>
          <w:lang w:eastAsia="zh-CN"/>
        </w:rPr>
        <w:t>现代化区域</w:t>
      </w:r>
      <w:r>
        <w:rPr>
          <w:rFonts w:hint="eastAsia" w:ascii="仿宋_GB2312" w:hAnsi="仿宋_GB2312" w:eastAsia="仿宋_GB2312" w:cs="仿宋_GB2312"/>
          <w:spacing w:val="0"/>
          <w:sz w:val="32"/>
          <w:szCs w:val="32"/>
        </w:rPr>
        <w:t>中心城市发展建设研究。完善规划实施的公众参与、科学决策和民主监督机制，积极探索政府、社会和公众协同推进机制，切实维护群众的知情权、参与权、表达权、监督权，充分调动人民群众的积极性、主动性和创造性。鼓励传媒和公众积极参与政策的实施和监督，加强宣传引导，充分利用各种媒体平台全方位宣传工作成效，更好发挥新闻舆论传播力、引导力、影响力、公信力。提高用网治网水平，加强网上正面宣传，构建网上网下一体，内宣外宣联动的主流舆论格局。加大规划宣传力度，总结推广先进做法和典型经验，健全政府与企业、市民的信息沟通与交流反馈机制，畅通公众意见反馈渠道，最大限度把各阶层各方面的智慧和力量凝聚起来，形成推动</w:t>
      </w:r>
      <w:r>
        <w:rPr>
          <w:rFonts w:hint="eastAsia" w:ascii="仿宋_GB2312" w:hAnsi="仿宋_GB2312" w:eastAsia="仿宋_GB2312" w:cs="仿宋_GB2312"/>
          <w:spacing w:val="0"/>
          <w:sz w:val="32"/>
          <w:szCs w:val="32"/>
          <w:lang w:eastAsia="zh-CN"/>
        </w:rPr>
        <w:t>驻马店现代化区域</w:t>
      </w:r>
      <w:r>
        <w:rPr>
          <w:rFonts w:hint="eastAsia" w:ascii="仿宋_GB2312" w:hAnsi="仿宋_GB2312" w:eastAsia="仿宋_GB2312" w:cs="仿宋_GB2312"/>
          <w:spacing w:val="0"/>
          <w:sz w:val="32"/>
          <w:szCs w:val="32"/>
        </w:rPr>
        <w:t>中心城市建设的强大合力</w:t>
      </w:r>
      <w:bookmarkStart w:id="18" w:name="第三节  强化发展要素保障"/>
      <w:bookmarkEnd w:id="18"/>
      <w:bookmarkStart w:id="19" w:name="第三节  发展目标"/>
      <w:bookmarkEnd w:id="19"/>
      <w:bookmarkStart w:id="20" w:name="_bookmark56"/>
      <w:bookmarkEnd w:id="20"/>
      <w:bookmarkStart w:id="21" w:name="_bookmark7"/>
      <w:bookmarkEnd w:id="21"/>
      <w:r>
        <w:rPr>
          <w:rFonts w:hint="eastAsia" w:ascii="仿宋_GB2312" w:hAnsi="仿宋_GB2312" w:eastAsia="仿宋_GB2312" w:cs="仿宋_GB2312"/>
          <w:spacing w:val="0"/>
          <w:sz w:val="32"/>
          <w:szCs w:val="32"/>
          <w:lang w:eastAsia="zh-CN"/>
        </w:rPr>
        <w:t>。</w:t>
      </w:r>
    </w:p>
    <w:p>
      <w:pPr>
        <w:pStyle w:val="2"/>
        <w:rPr>
          <w:rFonts w:hint="default" w:ascii="仿宋_GB2312" w:hAnsi="仿宋_GB2312" w:eastAsia="仿宋_GB2312" w:cs="仿宋_GB2312"/>
          <w:color w:val="auto"/>
          <w:spacing w:val="0"/>
          <w:kern w:val="0"/>
          <w:sz w:val="32"/>
          <w:szCs w:val="32"/>
          <w:lang w:val="en-US" w:eastAsia="zh-CN" w:bidi="ar"/>
        </w:rPr>
        <w:sectPr>
          <w:pgSz w:w="11910" w:h="16840"/>
          <w:pgMar w:top="1984" w:right="1417" w:bottom="1814" w:left="1587" w:header="720" w:footer="720" w:gutter="0"/>
          <w:cols w:space="0" w:num="1"/>
          <w:rtlGutter w:val="0"/>
          <w:docGrid w:type="linesAndChars" w:linePitch="289" w:charSpace="-4201"/>
        </w:sect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firstLine="0" w:firstLineChars="0"/>
        <w:textAlignment w:val="auto"/>
        <w:rPr>
          <w:rFonts w:hint="eastAsia" w:ascii="仿宋" w:hAnsi="仿宋" w:eastAsia="仿宋" w:cs="仿宋"/>
          <w:color w:val="auto"/>
          <w:sz w:val="32"/>
          <w:szCs w:val="32"/>
        </w:rPr>
      </w:pPr>
    </w:p>
    <w:sectPr>
      <w:footerReference r:id="rId4" w:type="default"/>
      <w:pgSz w:w="11911" w:h="16838"/>
      <w:pgMar w:top="1984" w:right="1417" w:bottom="1814" w:left="1587" w:header="0" w:footer="1191" w:gutter="0"/>
      <w:pgNumType w:fmt="decimal"/>
      <w:cols w:space="0" w:num="1"/>
      <w:rtlGutter w:val="0"/>
      <w:docGrid w:type="linesAndChars" w:linePitch="286" w:charSpace="9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01"/>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t xml:space="preserve">— </w:t>
                          </w:r>
                          <w:r>
                            <w:fldChar w:fldCharType="begin"/>
                          </w:r>
                          <w:r>
                            <w:instrText xml:space="preserve"> PAGE  \* MERGEFORMAT </w:instrText>
                          </w:r>
                          <w:r>
                            <w:fldChar w:fldCharType="separate"/>
                          </w:r>
                          <w:r>
                            <w:t>2</w:t>
                          </w:r>
                          <w:r>
                            <w:fldChar w:fldCharType="end"/>
                          </w:r>
                          <w: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8FiLyGwIAACk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A8FiLyGwIAACkEAAAOAAAAAAAAAAEAIAAAADUBAABkcnMvZTJvRG9jLnhtbFBLBQYA&#10;AAAABgAGAFkBAADCBQAAAAA=&#10;">
              <v:fill on="f" focussize="0,0"/>
              <v:stroke on="f" weight="0.5pt"/>
              <v:imagedata o:title=""/>
              <o:lock v:ext="edit" aspectratio="f"/>
              <v:textbox inset="0mm,0mm,0mm,0mm" style="mso-fit-shape-to-text:t;">
                <w:txbxContent>
                  <w:p>
                    <w:pPr>
                      <w:pStyle w:val="4"/>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t xml:space="preserve">— </w:t>
                          </w:r>
                          <w:r>
                            <w:fldChar w:fldCharType="begin"/>
                          </w:r>
                          <w:r>
                            <w:instrText xml:space="preserve"> PAGE  \* MERGEFORMAT </w:instrText>
                          </w:r>
                          <w:r>
                            <w:fldChar w:fldCharType="separate"/>
                          </w:r>
                          <w:r>
                            <w:t>2</w:t>
                          </w:r>
                          <w:r>
                            <w:fldChar w:fldCharType="end"/>
                          </w:r>
                          <w: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76IwHQIAACkEAAAOAAAAZHJz&#10;L2Uyb0RvYy54bWytU82O0zAQviPxDpbvNGkrVl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PXvojAdAgAAKQQAAA4AAAAAAAAAAQAgAAAANQEAAGRycy9lMm9Eb2MueG1sUEsF&#10;BgAAAAAGAAYAWQEAAMQFAAAAAA==&#10;">
              <v:fill on="f" focussize="0,0"/>
              <v:stroke on="f" weight="0.5pt"/>
              <v:imagedata o:title=""/>
              <o:lock v:ext="edit" aspectratio="f"/>
              <v:textbox inset="0mm,0mm,0mm,0mm" style="mso-fit-shape-to-text:t;">
                <w:txbxContent>
                  <w:p>
                    <w:pPr>
                      <w:pStyle w:val="4"/>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FFF9D2"/>
    <w:multiLevelType w:val="singleLevel"/>
    <w:tmpl w:val="AFFFF9D2"/>
    <w:lvl w:ilvl="0" w:tentative="0">
      <w:start w:val="4"/>
      <w:numFmt w:val="chineseCounting"/>
      <w:suff w:val="space"/>
      <w:lvlText w:val="第%1节"/>
      <w:lvlJc w:val="left"/>
      <w:rPr>
        <w:rFonts w:hint="eastAsia"/>
      </w:rPr>
    </w:lvl>
  </w:abstractNum>
  <w:abstractNum w:abstractNumId="1">
    <w:nsid w:val="D3BBA704"/>
    <w:multiLevelType w:val="singleLevel"/>
    <w:tmpl w:val="D3BBA704"/>
    <w:lvl w:ilvl="0" w:tentative="0">
      <w:start w:val="1"/>
      <w:numFmt w:val="chineseCounting"/>
      <w:suff w:val="nothing"/>
      <w:lvlText w:val="（%1）"/>
      <w:lvlJc w:val="left"/>
      <w:rPr>
        <w:rFonts w:hint="eastAsia"/>
      </w:rPr>
    </w:lvl>
  </w:abstractNum>
  <w:abstractNum w:abstractNumId="2">
    <w:nsid w:val="DDFB07B7"/>
    <w:multiLevelType w:val="singleLevel"/>
    <w:tmpl w:val="DDFB07B7"/>
    <w:lvl w:ilvl="0" w:tentative="0">
      <w:start w:val="1"/>
      <w:numFmt w:val="chineseCounting"/>
      <w:suff w:val="space"/>
      <w:lvlText w:val="第%1节"/>
      <w:lvlJc w:val="left"/>
      <w:rPr>
        <w:rFonts w:hint="eastAsia"/>
      </w:rPr>
    </w:lvl>
  </w:abstractNum>
  <w:abstractNum w:abstractNumId="3">
    <w:nsid w:val="DFAD5EE4"/>
    <w:multiLevelType w:val="singleLevel"/>
    <w:tmpl w:val="DFAD5EE4"/>
    <w:lvl w:ilvl="0" w:tentative="0">
      <w:start w:val="1"/>
      <w:numFmt w:val="decimal"/>
      <w:suff w:val="nothing"/>
      <w:lvlText w:val="%1、"/>
      <w:lvlJc w:val="left"/>
    </w:lvl>
  </w:abstractNum>
  <w:abstractNum w:abstractNumId="4">
    <w:nsid w:val="FDEFF375"/>
    <w:multiLevelType w:val="singleLevel"/>
    <w:tmpl w:val="FDEFF375"/>
    <w:lvl w:ilvl="0" w:tentative="0">
      <w:start w:val="5"/>
      <w:numFmt w:val="chineseCounting"/>
      <w:suff w:val="space"/>
      <w:lvlText w:val="第%1节"/>
      <w:lvlJc w:val="left"/>
      <w:rPr>
        <w:rFonts w:hint="eastAsia"/>
      </w:rPr>
    </w:lvl>
  </w:abstractNum>
  <w:abstractNum w:abstractNumId="5">
    <w:nsid w:val="3FBF8DAE"/>
    <w:multiLevelType w:val="singleLevel"/>
    <w:tmpl w:val="3FBF8DAE"/>
    <w:lvl w:ilvl="0" w:tentative="0">
      <w:start w:val="1"/>
      <w:numFmt w:val="decimal"/>
      <w:suff w:val="nothing"/>
      <w:lvlText w:val="%1、"/>
      <w:lvlJc w:val="left"/>
    </w:lvl>
  </w:abstractNum>
  <w:num w:numId="1">
    <w:abstractNumId w:val="2"/>
  </w:num>
  <w:num w:numId="2">
    <w:abstractNumId w:val="4"/>
  </w:num>
  <w:num w:numId="3">
    <w:abstractNumId w:val="3"/>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false"/>
  <w:bordersDoNotSurroundFooter w:val="false"/>
  <w:documentProtection w:enforcement="0"/>
  <w:defaultTabStop w:val="420"/>
  <w:drawingGridHorizontalSpacing w:val="95"/>
  <w:drawingGridVerticalSpacing w:val="144"/>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D3A7CE"/>
    <w:rsid w:val="06FB35FB"/>
    <w:rsid w:val="13CD32C0"/>
    <w:rsid w:val="16BF9CC9"/>
    <w:rsid w:val="177F96DE"/>
    <w:rsid w:val="1FFF102A"/>
    <w:rsid w:val="2BF63502"/>
    <w:rsid w:val="2DDF8230"/>
    <w:rsid w:val="2DF7FDEC"/>
    <w:rsid w:val="2EF7E771"/>
    <w:rsid w:val="2FFCA061"/>
    <w:rsid w:val="33F1987D"/>
    <w:rsid w:val="37BE0718"/>
    <w:rsid w:val="37FD489E"/>
    <w:rsid w:val="37FF8D84"/>
    <w:rsid w:val="387A89A5"/>
    <w:rsid w:val="3CDF4A89"/>
    <w:rsid w:val="3DFF27AB"/>
    <w:rsid w:val="3F7E2C29"/>
    <w:rsid w:val="3F8A703E"/>
    <w:rsid w:val="3FB7E98B"/>
    <w:rsid w:val="3FD3EF64"/>
    <w:rsid w:val="3FE7602D"/>
    <w:rsid w:val="3FFD4C52"/>
    <w:rsid w:val="3FFE3024"/>
    <w:rsid w:val="4EC7F5F6"/>
    <w:rsid w:val="4F6E7447"/>
    <w:rsid w:val="4F73F383"/>
    <w:rsid w:val="4FFE1E03"/>
    <w:rsid w:val="52867C47"/>
    <w:rsid w:val="53EFD027"/>
    <w:rsid w:val="57EF21C7"/>
    <w:rsid w:val="57FA012B"/>
    <w:rsid w:val="5ADF780E"/>
    <w:rsid w:val="5BCD9880"/>
    <w:rsid w:val="5DF75EBC"/>
    <w:rsid w:val="5FFF532E"/>
    <w:rsid w:val="677D5B14"/>
    <w:rsid w:val="68EF64E5"/>
    <w:rsid w:val="6AFEC301"/>
    <w:rsid w:val="6AFF1907"/>
    <w:rsid w:val="6DEB9D95"/>
    <w:rsid w:val="6F6FA758"/>
    <w:rsid w:val="6F7F1388"/>
    <w:rsid w:val="6FFA7601"/>
    <w:rsid w:val="6FFE24AC"/>
    <w:rsid w:val="72D3A7CE"/>
    <w:rsid w:val="757578B4"/>
    <w:rsid w:val="75E578C5"/>
    <w:rsid w:val="76AEB4C1"/>
    <w:rsid w:val="76D9A291"/>
    <w:rsid w:val="774F3C13"/>
    <w:rsid w:val="7773A288"/>
    <w:rsid w:val="77E7C1F4"/>
    <w:rsid w:val="77FDEAC1"/>
    <w:rsid w:val="78E7C459"/>
    <w:rsid w:val="79BDD777"/>
    <w:rsid w:val="7AD6227E"/>
    <w:rsid w:val="7B97A0F6"/>
    <w:rsid w:val="7BAD8152"/>
    <w:rsid w:val="7C979B85"/>
    <w:rsid w:val="7C9D653C"/>
    <w:rsid w:val="7DEB07CC"/>
    <w:rsid w:val="7DFF3961"/>
    <w:rsid w:val="7EBEEECF"/>
    <w:rsid w:val="7EFB3F55"/>
    <w:rsid w:val="7EFFD8F0"/>
    <w:rsid w:val="7F6B82CC"/>
    <w:rsid w:val="7F762CED"/>
    <w:rsid w:val="7F7AAB33"/>
    <w:rsid w:val="7F7D97E2"/>
    <w:rsid w:val="7F96347A"/>
    <w:rsid w:val="7FBD168D"/>
    <w:rsid w:val="7FC7F207"/>
    <w:rsid w:val="8FBFE3F4"/>
    <w:rsid w:val="952FDB23"/>
    <w:rsid w:val="9ABD111F"/>
    <w:rsid w:val="9FFF84DA"/>
    <w:rsid w:val="B5CE52FB"/>
    <w:rsid w:val="B7377B44"/>
    <w:rsid w:val="B7675AFB"/>
    <w:rsid w:val="B7F9C5FE"/>
    <w:rsid w:val="B9FD498D"/>
    <w:rsid w:val="BD4E8342"/>
    <w:rsid w:val="BFCF5748"/>
    <w:rsid w:val="BFDF3F01"/>
    <w:rsid w:val="BFDFA79D"/>
    <w:rsid w:val="BFFBC87A"/>
    <w:rsid w:val="BFFF5822"/>
    <w:rsid w:val="BFFF77E8"/>
    <w:rsid w:val="C7AFF883"/>
    <w:rsid w:val="CC53B67E"/>
    <w:rsid w:val="CDD879F4"/>
    <w:rsid w:val="CFE09A3C"/>
    <w:rsid w:val="D757FA40"/>
    <w:rsid w:val="D76D6596"/>
    <w:rsid w:val="D7BAC138"/>
    <w:rsid w:val="D9FEA4DB"/>
    <w:rsid w:val="DB7F6E6E"/>
    <w:rsid w:val="DE5A7D7C"/>
    <w:rsid w:val="DEB38CBA"/>
    <w:rsid w:val="DEEF204C"/>
    <w:rsid w:val="DFDD99BB"/>
    <w:rsid w:val="DFF66B45"/>
    <w:rsid w:val="E5FB228D"/>
    <w:rsid w:val="E63FDAAF"/>
    <w:rsid w:val="E6FEC626"/>
    <w:rsid w:val="E8DBBD52"/>
    <w:rsid w:val="EB7F6834"/>
    <w:rsid w:val="ED5FD283"/>
    <w:rsid w:val="EEFD47F7"/>
    <w:rsid w:val="EF1E3956"/>
    <w:rsid w:val="EF466B26"/>
    <w:rsid w:val="EFDEE3E3"/>
    <w:rsid w:val="EFFEE01B"/>
    <w:rsid w:val="EFFF5C60"/>
    <w:rsid w:val="F1FF2F2C"/>
    <w:rsid w:val="F3A12432"/>
    <w:rsid w:val="F56FDECD"/>
    <w:rsid w:val="F5BD976E"/>
    <w:rsid w:val="F6BF4A94"/>
    <w:rsid w:val="F77FBD00"/>
    <w:rsid w:val="F7A644B4"/>
    <w:rsid w:val="FBAB42CF"/>
    <w:rsid w:val="FBB380A5"/>
    <w:rsid w:val="FBEA0847"/>
    <w:rsid w:val="FCFE03D3"/>
    <w:rsid w:val="FCFEA0F7"/>
    <w:rsid w:val="FDAE77AC"/>
    <w:rsid w:val="FDFD7886"/>
    <w:rsid w:val="FF7F5891"/>
    <w:rsid w:val="FF9F8002"/>
    <w:rsid w:val="FFAF23AF"/>
    <w:rsid w:val="FFCF5C72"/>
    <w:rsid w:val="FFEE77B0"/>
    <w:rsid w:val="FFF15AF7"/>
    <w:rsid w:val="FFF4DE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1"/>
    <w:pPr>
      <w:ind w:left="1" w:right="1"/>
      <w:jc w:val="center"/>
      <w:outlineLvl w:val="1"/>
    </w:pPr>
    <w:rPr>
      <w:rFonts w:ascii="楷体" w:hAnsi="楷体" w:eastAsia="楷体" w:cs="楷体"/>
      <w:b/>
      <w:bCs/>
      <w:sz w:val="32"/>
      <w:szCs w:val="32"/>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pPr>
      <w:ind w:left="1800"/>
    </w:pPr>
    <w:rPr>
      <w:rFonts w:ascii="仿宋" w:hAnsi="仿宋" w:eastAsia="仿宋" w:cs="仿宋"/>
      <w:sz w:val="32"/>
      <w:szCs w:val="32"/>
      <w:lang w:val="en-US" w:eastAsia="zh-CN"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paragraph" w:customStyle="1" w:styleId="11">
    <w:name w:val="Table Paragraph"/>
    <w:basedOn w:val="1"/>
    <w:qFormat/>
    <w:uiPriority w:val="1"/>
    <w:pPr>
      <w:spacing w:line="300" w:lineRule="exact"/>
      <w:ind w:left="108"/>
      <w:jc w:val="center"/>
    </w:pPr>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Office_11.8.2.10534_F1E327BC-269C-435d-A152-05C5408002CA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2023-07-05T09:10:00Z</dcterms:created>
  <dc:creator>greatwall</dc:creator>
  <cp:lastModifiedBy>greatwall</cp:lastModifiedBy>
  <dcterms:modified xsi:type="dcterms:W3CDTF">2023-11-01T15:18:09Z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2052-11.8.2.10534</vt:lpwstr>
  </property>
</Properties>
</file>